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Rule="auto"/>
        <w:rPr>
          <w:b w:val="1"/>
          <w:color w:val="1b1c1d"/>
          <w:sz w:val="33"/>
          <w:szCs w:val="33"/>
        </w:rPr>
      </w:pPr>
      <w:bookmarkStart w:colFirst="0" w:colLast="0" w:name="_699haqnyezpg" w:id="0"/>
      <w:bookmarkEnd w:id="0"/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Constitutional Committee Update - July 2025 Election</w:t>
      </w:r>
    </w:p>
    <w:p w:rsidR="00000000" w:rsidDel="00000000" w:rsidP="00000000" w:rsidRDefault="00000000" w:rsidRPr="00000000" w14:paraId="00000002">
      <w:pPr>
        <w:pStyle w:val="Heading2"/>
        <w:spacing w:after="60" w:lineRule="auto"/>
        <w:rPr>
          <w:b w:val="1"/>
          <w:color w:val="1b1c1d"/>
          <w:sz w:val="24"/>
          <w:szCs w:val="24"/>
        </w:rPr>
      </w:pPr>
      <w:bookmarkStart w:colFirst="0" w:colLast="0" w:name="_t3kxi4edd55y" w:id="1"/>
      <w:bookmarkEnd w:id="1"/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Replace Interim Constitutional Committee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governance action replaces the current Interim Constitutional Committee with the new committee elected by DReps during the Intersect-hosted election process from May 5th to July 6th, 2025.</w:t>
      </w:r>
    </w:p>
    <w:p w:rsidR="00000000" w:rsidDel="00000000" w:rsidP="00000000" w:rsidRDefault="00000000" w:rsidRPr="00000000" w14:paraId="00000005">
      <w:pPr>
        <w:pStyle w:val="Heading2"/>
        <w:spacing w:after="60" w:lineRule="auto"/>
        <w:rPr/>
      </w:pPr>
      <w:bookmarkStart w:colFirst="0" w:colLast="0" w:name="_6oxg8l4lv1sq" w:id="2"/>
      <w:bookmarkEnd w:id="2"/>
      <w:r w:rsidDel="00000000" w:rsidR="00000000" w:rsidRPr="00000000">
        <w:rPr>
          <w:b w:val="1"/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term for the current Interim Constitutional Committee is set to expire on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September 6th (end of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epoch 580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Therefore, this governance action is critical to formalize the results of the recent election and ensure a fully elected Constitutional Committee (CC) is enacted in time. This adheres to the Cardano constitution's mandate for staggered elections and guarantees continuity of the committee's function.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Electing a new CC before the current term expires is essential to ensure the seamless continuation of Cardano governance and the ability to pass actions requiring CC approval.</w:t>
      </w:r>
    </w:p>
    <w:p w:rsidR="00000000" w:rsidDel="00000000" w:rsidP="00000000" w:rsidRDefault="00000000" w:rsidRPr="00000000" w14:paraId="00000008">
      <w:pPr>
        <w:pStyle w:val="Heading2"/>
        <w:spacing w:after="60" w:lineRule="auto"/>
        <w:rPr/>
      </w:pPr>
      <w:bookmarkStart w:colFirst="0" w:colLast="0" w:name="_sfrxkfibehdp" w:id="3"/>
      <w:bookmarkEnd w:id="3"/>
      <w:r w:rsidDel="00000000" w:rsidR="00000000" w:rsidRPr="00000000">
        <w:rPr>
          <w:b w:val="1"/>
          <w:rtl w:val="0"/>
        </w:rPr>
        <w:t xml:space="preserve">Rationale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 accordance with the constitutional mandate for this election, seven committee seats were filled with staggered terms to ensure continuity. The election, which filled three seats for a 146-epoch term (approximately two years) and four seats for a 73-epoch term (approximately one year), incorporated a novel selection method.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Following the tallying of votes, the candidate with the highest number of votes was given the first choice of term length, either 146 or 73 epochs. Subsequently, the second-ranked candidate chose from the remaining options, and so on, until all term lengths were selected. This continued until only one option remained for the final candidates.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governance action officially ratifies the results of that electoral process, cementing the composition of the committee with its staggered terms designed to ensure operational continuity.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Note on Term Length Estimation: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expiration epochs are estimates calculated for this governance action. The estimation accounts for the action's maximum 6-epoch lifetime, plus one epoch for enactment, in addition to the 73 or 146-epoch term length chosen by each member. Should this governance action be ratified sooner than its final epoch, the actual term for each member will be correspondingly longer.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For example: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As this governance action has a 6-epoch lifetime, if it is ratified in epoch 2, the committee members' terms would be 4 epochs longer than the minimum estimate.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elected members are:</w:t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870"/>
        <w:gridCol w:w="2160"/>
        <w:gridCol w:w="1920"/>
        <w:tblGridChange w:id="0">
          <w:tblGrid>
            <w:gridCol w:w="1680"/>
            <w:gridCol w:w="3870"/>
            <w:gridCol w:w="216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Cold Credential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Term Length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Expiration Epoch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Cardano Atlantic Council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c1d"/>
                <w:sz w:val="24"/>
                <w:szCs w:val="24"/>
                <w:rtl w:val="0"/>
              </w:rPr>
              <w:t xml:space="preserve">script-hash-349e55f83e9af24813e6cb368df6a80d38951b2a334dfcdf26815558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1b1c1d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653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Tingvard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c1d"/>
                <w:sz w:val="24"/>
                <w:szCs w:val="24"/>
                <w:rtl w:val="0"/>
              </w:rPr>
              <w:t xml:space="preserve">script-hash-1980dbf1ad624b0cb5410359b5ab14d008561994a6c2b6c53fabec00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726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c1d"/>
                <w:sz w:val="24"/>
                <w:szCs w:val="24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Eastern Cardano Council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c1d"/>
                <w:sz w:val="24"/>
                <w:szCs w:val="24"/>
                <w:rtl w:val="0"/>
              </w:rPr>
              <w:t xml:space="preserve">script-hash-b6012034ba0a7e4afbbf2c7a1432f8824aee5299a48e38e41a952686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color w:val="1b1c1d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726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c1d"/>
                <w:sz w:val="24"/>
                <w:szCs w:val="24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KtorZ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c1d"/>
                <w:sz w:val="24"/>
                <w:szCs w:val="24"/>
                <w:rtl w:val="0"/>
              </w:rPr>
              <w:t xml:space="preserve">key-hash-</w:t>
            </w:r>
            <w:r w:rsidDel="00000000" w:rsidR="00000000" w:rsidRPr="00000000">
              <w:rPr>
                <w:rFonts w:ascii="Courier New" w:cs="Courier New" w:eastAsia="Courier New" w:hAnsi="Courier New"/>
                <w:color w:val="1b1c1d"/>
                <w:sz w:val="24"/>
                <w:szCs w:val="24"/>
                <w:rtl w:val="0"/>
              </w:rPr>
              <w:t xml:space="preserve">dc0d6ef49590eb6880a50a00adde17596e6d76f7159572fa1ff85f2a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1b1c1d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653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c1d"/>
                <w:sz w:val="24"/>
                <w:szCs w:val="24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Ace Alliance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c1d"/>
                <w:sz w:val="24"/>
                <w:szCs w:val="24"/>
                <w:rtl w:val="0"/>
              </w:rPr>
              <w:t xml:space="preserve">script-hash-9752e4306e5ae864441d21064f791174c8b626199b8e7a45f9e03b45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color w:val="1b1c1d"/>
                <w:sz w:val="24"/>
                <w:szCs w:val="24"/>
              </w:rPr>
            </w:pPr>
            <w:commentRangeStart w:id="4"/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726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c1d"/>
                <w:sz w:val="24"/>
                <w:szCs w:val="24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Cardano Japan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c1d"/>
                <w:sz w:val="24"/>
                <w:szCs w:val="24"/>
                <w:rtl w:val="0"/>
              </w:rPr>
              <w:t xml:space="preserve">script-hash-9cc3f387623f465dae6a68b7096b0c2e403d8601a82dc40221ead41e2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commentRangeStart w:id="5"/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653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c1d"/>
                <w:sz w:val="24"/>
                <w:szCs w:val="24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Phil_uplc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b1c1d"/>
                <w:sz w:val="24"/>
                <w:szCs w:val="24"/>
                <w:rtl w:val="0"/>
              </w:rPr>
              <w:t xml:space="preserve">key-hash-13493790d9b03483a1e1e684ea4faf1ee48a58f402574e7f2246f4d4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b1c1d"/>
                <w:sz w:val="24"/>
                <w:szCs w:val="24"/>
              </w:rPr>
            </w:pPr>
            <w:commentRangeStart w:id="6"/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726</w:t>
            </w:r>
          </w:p>
        </w:tc>
      </w:tr>
    </w:tbl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/>
      </w:pP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auto" w:space="24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  <w:color w:val="1b1c1d"/>
          <w:sz w:val="24"/>
          <w:szCs w:val="24"/>
        </w:rPr>
      </w:pPr>
      <w:bookmarkStart w:colFirst="0" w:colLast="0" w:name="_d47b6sq974dc" w:id="4"/>
      <w:bookmarkEnd w:id="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Election Details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Intersect’s Constitutional Committee election working group designed the election process to 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Adhering to the Cardano Constitution: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Ensuring all procedures were compliant with the foundational rules of the ecosystem.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Accessible: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Allowing any Ada owner to register as a candidate.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Transparent and Verifiable: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Building trust through an open process with verifiable, on-chain results.</w:t>
      </w:r>
    </w:p>
    <w:p w:rsidR="00000000" w:rsidDel="00000000" w:rsidP="00000000" w:rsidRDefault="00000000" w:rsidRPr="00000000" w14:paraId="00000035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election process ran from May 5th to July 6th, 2025, and included distinct periods for candidate applications, DRep voting, and a final audit. The voting tools were provided by Byron Network, and the results of the DRep vote were independently verified by DQuadrant.</w:t>
      </w:r>
    </w:p>
    <w:p w:rsidR="00000000" w:rsidDel="00000000" w:rsidP="00000000" w:rsidRDefault="00000000" w:rsidRPr="00000000" w14:paraId="0000003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bookmarkStart w:colFirst="0" w:colLast="0" w:name="_f4esbjdacan9" w:id="5"/>
      <w:bookmarkEnd w:id="5"/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Audit Results (CSV)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ipfs://bafybeif5jj6trdzrezawj4itwkvdno3hxt756v6wmwnqv3sm3tgermzb4e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br w:type="textWrapping"/>
        <w:t xml:space="preserve">Audit File #1 (All Votes)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ipfs://bafkreifjk2bfk5b4y6j7tatnhzfkjkgju6sb46bbmdjk7s4vwh7qyol76m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Audit File #2 (Candidate Results)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ipfs://bafkreighhfaeemykaqzafk7onsgdxjg6jkvmzzkgkbns2yyd52qdtxkhr4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Audit File #3 (Blockchain Transactions with Script)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ipfs://bafkreibbcemzq77mu3hna4cdd6wh5ps5ohsa2y2h5cgwmfou6idfesyr2q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6" w:sz="0" w:val="none"/>
          <w:left w:color="auto" w:space="0" w:sz="0" w:val="none"/>
          <w:bottom w:color="auto" w:space="12" w:sz="0" w:val="none"/>
          <w:right w:color="auto" w:space="0" w:sz="0" w:val="none"/>
        </w:pBd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yan Williams" w:id="0" w:date="2025-07-24T11:10:15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assumed submission within epoch 573</w:t>
      </w:r>
    </w:p>
  </w:comment>
  <w:comment w:author="Ryan Williams" w:id="1" w:date="2025-07-24T11:10:15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assumed submission within epoch 573</w:t>
      </w:r>
    </w:p>
  </w:comment>
  <w:comment w:author="Ryan Williams" w:id="2" w:date="2025-07-24T11:10:15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assumed submission within epoch 573</w:t>
      </w:r>
    </w:p>
  </w:comment>
  <w:comment w:author="Ryan Williams" w:id="3" w:date="2025-07-24T11:10:15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assumed submission within epoch 573</w:t>
      </w:r>
    </w:p>
  </w:comment>
  <w:comment w:author="Ryan Williams" w:id="4" w:date="2025-07-24T11:10:15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assumed submission within epoch 573</w:t>
      </w:r>
    </w:p>
  </w:comment>
  <w:comment w:author="Ryan Williams" w:id="5" w:date="2025-07-24T11:10:15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assumed submission within epoch 573</w:t>
      </w:r>
    </w:p>
  </w:comment>
  <w:comment w:author="Ryan Williams" w:id="6" w:date="2025-07-24T11:10:15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assumed submission within epoch 573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