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er-education"/>
      <w:bookmarkEnd w:id="21"/>
      <w:r>
        <w:t xml:space="preserve">User Education</w:t>
      </w:r>
    </w:p>
    <w:p>
      <w:pPr>
        <w:pStyle w:val="Heading3"/>
      </w:pPr>
      <w:bookmarkStart w:id="22" w:name="introduction"/>
      <w:bookmarkEnd w:id="22"/>
      <w:r>
        <w:t xml:space="preserve">Introduction</w:t>
      </w:r>
    </w:p>
    <w:p>
      <w:pPr>
        <w:pStyle w:val="FirstParagraph"/>
      </w:pPr>
      <w:r>
        <w:t xml:space="preserve">Many champions will have already have had previous experience training individuals in their own organisations. This module and course are not designed to train trainers (there are many resources such as</w:t>
      </w:r>
      <w:r>
        <w:t xml:space="preserve"> </w:t>
      </w:r>
      <w:hyperlink r:id="rId23">
        <w:r>
          <w:rPr>
            <w:rStyle w:val="Hyperlink"/>
          </w:rPr>
          <w:t xml:space="preserve">Level-Up</w:t>
        </w:r>
      </w:hyperlink>
      <w:r>
        <w:t xml:space="preserve"> </w:t>
      </w:r>
      <w:r>
        <w:t xml:space="preserve">that already do this well), instead, it is an opportunity to explore some of the tools that are available and to share best practices for integrating user education into organisaions.</w:t>
      </w:r>
    </w:p>
    <w:p>
      <w:pPr>
        <w:pStyle w:val="Heading3"/>
      </w:pPr>
      <w:bookmarkStart w:id="24" w:name="learning-goals"/>
      <w:bookmarkEnd w:id="24"/>
      <w:r>
        <w:t xml:space="preserve">Learning Goals</w:t>
      </w:r>
    </w:p>
    <w:p>
      <w:pPr>
        <w:pStyle w:val="Compact"/>
        <w:numPr>
          <w:numId w:val="1001"/>
          <w:ilvl w:val="0"/>
        </w:numPr>
      </w:pPr>
      <w:r>
        <w:t xml:space="preserve">Help participants learn about current initiatives for peer education and training</w:t>
      </w:r>
    </w:p>
    <w:p>
      <w:pPr>
        <w:pStyle w:val="Compact"/>
        <w:numPr>
          <w:numId w:val="1001"/>
          <w:ilvl w:val="0"/>
        </w:numPr>
      </w:pPr>
      <w:r>
        <w:t xml:space="preserve">Participants share and critique various resources for peer education and training</w:t>
      </w:r>
    </w:p>
    <w:p>
      <w:pPr>
        <w:pStyle w:val="Compact"/>
        <w:numPr>
          <w:numId w:val="1001"/>
          <w:ilvl w:val="0"/>
        </w:numPr>
      </w:pPr>
      <w:r>
        <w:t xml:space="preserve">Participants share experiences and best practices on peer education</w:t>
      </w:r>
    </w:p>
    <w:p>
      <w:pPr>
        <w:pStyle w:val="Heading3"/>
      </w:pPr>
      <w:bookmarkStart w:id="25" w:name="assessment-goals"/>
      <w:bookmarkEnd w:id="25"/>
      <w:r>
        <w:t xml:space="preserve">Assessment Goals</w:t>
      </w:r>
    </w:p>
    <w:p>
      <w:pPr>
        <w:pStyle w:val="Compact"/>
        <w:numPr>
          <w:numId w:val="1002"/>
          <w:ilvl w:val="0"/>
        </w:numPr>
      </w:pPr>
      <w:r>
        <w:t xml:space="preserve">Develop measures and plans to integrate user education and training into work of their organisations</w:t>
      </w:r>
    </w:p>
    <w:p>
      <w:pPr>
        <w:pStyle w:val="Heading3"/>
      </w:pPr>
      <w:bookmarkStart w:id="26" w:name="recommend-preparations"/>
      <w:bookmarkEnd w:id="26"/>
      <w:r>
        <w:t xml:space="preserve">Recommend Preparations</w:t>
      </w:r>
    </w:p>
    <w:p>
      <w:pPr>
        <w:pStyle w:val="FirstParagraph"/>
      </w:pPr>
      <w:r>
        <w:t xml:space="preserve">N/A</w:t>
      </w:r>
    </w:p>
    <w:p>
      <w:pPr>
        <w:pStyle w:val="Heading3"/>
      </w:pPr>
      <w:bookmarkStart w:id="27" w:name="suggested-time"/>
      <w:bookmarkEnd w:id="27"/>
      <w:r>
        <w:t xml:space="preserve">Suggested Time</w:t>
      </w:r>
    </w:p>
    <w:p>
      <w:pPr>
        <w:pStyle w:val="FirstParagraph"/>
      </w:pPr>
      <w:r>
        <w:t xml:space="preserve">30 mins</w:t>
      </w:r>
    </w:p>
    <w:p>
      <w:pPr>
        <w:pStyle w:val="Heading3"/>
      </w:pPr>
      <w:bookmarkStart w:id="28" w:name="notes"/>
      <w:bookmarkEnd w:id="28"/>
      <w:r>
        <w:t xml:space="preserve">Notes</w:t>
      </w:r>
    </w:p>
    <w:p>
      <w:pPr>
        <w:pStyle w:val="Heading2"/>
      </w:pPr>
      <w:bookmarkStart w:id="29" w:name="activity"/>
      <w:bookmarkEnd w:id="29"/>
      <w:r>
        <w:t xml:space="preserve">Activity</w:t>
      </w:r>
    </w:p>
    <w:p>
      <w:pPr>
        <w:pStyle w:val="FirstParagraph"/>
      </w:pPr>
      <w:r>
        <w:t xml:space="preserve">N/A</w:t>
      </w:r>
    </w:p>
    <w:p>
      <w:pPr>
        <w:pStyle w:val="BodyText"/>
      </w:pPr>
      <w:r>
        <w:t xml:space="preserve">Trainer Note: While this course is not a training of trainer course, it might become relevant for participants to use this opportunity to test and benchmark their own user education efforts. If so, one activity that could be useful is asking participants to prepare a short five/ten-minute presentation and deliver it to the group. The group would then be asked to provide feedback on delivery, message and feedback - as if they were people receiving the training within the individual’s organisation for the first time.</w:t>
      </w:r>
    </w:p>
    <w:p>
      <w:pPr>
        <w:pStyle w:val="Heading2"/>
      </w:pPr>
      <w:bookmarkStart w:id="30" w:name="discussion"/>
      <w:bookmarkEnd w:id="30"/>
      <w:r>
        <w:t xml:space="preserve">Discussion</w:t>
      </w:r>
    </w:p>
    <w:p>
      <w:pPr>
        <w:pStyle w:val="FirstParagraph"/>
      </w:pPr>
      <w:r>
        <w:t xml:space="preserve">Using a flip-chart or other medium, break up participants into groups and ask them to answer and document questions such as the following:</w:t>
      </w:r>
    </w:p>
    <w:p>
      <w:pPr>
        <w:pStyle w:val="Compact"/>
        <w:numPr>
          <w:numId w:val="1003"/>
          <w:ilvl w:val="0"/>
        </w:numPr>
      </w:pPr>
      <w:r>
        <w:t xml:space="preserve">Why do we do user education?</w:t>
      </w:r>
    </w:p>
    <w:p>
      <w:pPr>
        <w:pStyle w:val="Compact"/>
        <w:numPr>
          <w:numId w:val="1003"/>
          <w:ilvl w:val="0"/>
        </w:numPr>
      </w:pPr>
      <w:r>
        <w:t xml:space="preserve">What are our own experiences of delivering user education?</w:t>
      </w:r>
    </w:p>
    <w:p>
      <w:pPr>
        <w:pStyle w:val="Compact"/>
        <w:numPr>
          <w:numId w:val="1003"/>
          <w:ilvl w:val="0"/>
        </w:numPr>
      </w:pPr>
      <w:r>
        <w:t xml:space="preserve">What topics do we cover?</w:t>
      </w:r>
    </w:p>
    <w:p>
      <w:pPr>
        <w:pStyle w:val="Compact"/>
        <w:numPr>
          <w:numId w:val="1003"/>
          <w:ilvl w:val="0"/>
        </w:numPr>
      </w:pPr>
      <w:r>
        <w:t xml:space="preserve">How do we deliver user education?</w:t>
      </w:r>
    </w:p>
    <w:p>
      <w:pPr>
        <w:pStyle w:val="Compact"/>
        <w:numPr>
          <w:numId w:val="1003"/>
          <w:ilvl w:val="0"/>
        </w:numPr>
      </w:pPr>
      <w:r>
        <w:t xml:space="preserve">What tools and resources do we use for user education? Why? Which tools are the most useful? Which does are the most up-to-date?</w:t>
      </w:r>
    </w:p>
    <w:p>
      <w:pPr>
        <w:pStyle w:val="Compact"/>
        <w:numPr>
          <w:numId w:val="1003"/>
          <w:ilvl w:val="0"/>
        </w:numPr>
      </w:pPr>
      <w:r>
        <w:t xml:space="preserve">What tools and resources do we not currently have that would help us in user education?</w:t>
      </w:r>
    </w:p>
    <w:p>
      <w:pPr>
        <w:pStyle w:val="Compact"/>
        <w:numPr>
          <w:numId w:val="1003"/>
          <w:ilvl w:val="0"/>
        </w:numPr>
      </w:pPr>
      <w:r>
        <w:t xml:space="preserve">How long do we take to deliver user education?</w:t>
      </w:r>
    </w:p>
    <w:p>
      <w:pPr>
        <w:pStyle w:val="Compact"/>
        <w:numPr>
          <w:numId w:val="1003"/>
          <w:ilvl w:val="0"/>
        </w:numPr>
      </w:pPr>
      <w:r>
        <w:t xml:space="preserve">What have been our positive/negative experiences when delivering user education?</w:t>
      </w:r>
    </w:p>
    <w:p>
      <w:pPr>
        <w:pStyle w:val="Compact"/>
        <w:numPr>
          <w:numId w:val="1003"/>
          <w:ilvl w:val="0"/>
        </w:numPr>
      </w:pPr>
      <w:r>
        <w:t xml:space="preserve">How do we measure success or failure in user education?</w:t>
      </w:r>
    </w:p>
    <w:p>
      <w:pPr>
        <w:pStyle w:val="Compact"/>
        <w:numPr>
          <w:numId w:val="1003"/>
          <w:ilvl w:val="0"/>
        </w:numPr>
      </w:pPr>
      <w:r>
        <w:t xml:space="preserve">What methods help us increase success in user education?</w:t>
      </w:r>
    </w:p>
    <w:p>
      <w:pPr>
        <w:pStyle w:val="Compact"/>
        <w:numPr>
          <w:numId w:val="1003"/>
          <w:ilvl w:val="0"/>
        </w:numPr>
      </w:pPr>
      <w:r>
        <w:t xml:space="preserve">How do we measure success or failure in implementation?</w:t>
      </w:r>
    </w:p>
    <w:p>
      <w:pPr>
        <w:pStyle w:val="Heading2"/>
      </w:pPr>
      <w:bookmarkStart w:id="31" w:name="inputs"/>
      <w:bookmarkEnd w:id="31"/>
      <w:r>
        <w:t xml:space="preserve">Inputs</w:t>
      </w:r>
    </w:p>
    <w:p>
      <w:pPr>
        <w:pStyle w:val="FirstParagraph"/>
      </w:pPr>
      <w:r>
        <w:t xml:space="preserve">N/A</w:t>
      </w:r>
    </w:p>
    <w:p>
      <w:pPr>
        <w:pStyle w:val="BodyText"/>
      </w:pPr>
      <w:r>
        <w:t xml:space="preserve">There are a number of tools available for validating user education initiatives.</w:t>
      </w:r>
    </w:p>
    <w:p>
      <w:pPr>
        <w:pStyle w:val="BodyText"/>
      </w:pPr>
      <w:r>
        <w:t xml:space="preserve">For example:</w:t>
      </w:r>
    </w:p>
    <w:p>
      <w:pPr>
        <w:pStyle w:val="Compact"/>
        <w:numPr>
          <w:numId w:val="1004"/>
          <w:ilvl w:val="0"/>
        </w:numPr>
      </w:pPr>
      <w:r>
        <w:t xml:space="preserve">Testing understanding and implementation of advice on phishing</w:t>
      </w:r>
    </w:p>
    <w:p>
      <w:pPr>
        <w:pStyle w:val="FirstParagraph"/>
      </w:pPr>
      <w:r>
        <w:t xml:space="preserve">There are also a number of tools available for measuring progress in user education courses. A number of these can be self-hosted.</w:t>
      </w:r>
    </w:p>
    <w:p>
      <w:pPr>
        <w:pStyle w:val="Heading2"/>
      </w:pPr>
      <w:bookmarkStart w:id="32" w:name="deepening"/>
      <w:bookmarkEnd w:id="32"/>
      <w:r>
        <w:t xml:space="preserve">Deepening</w:t>
      </w:r>
    </w:p>
    <w:p>
      <w:pPr>
        <w:pStyle w:val="FirstParagraph"/>
      </w:pPr>
      <w:r>
        <w:drawing>
          <wp:inline>
            <wp:extent cx="5334000" cy="2800349"/>
            <wp:effectExtent b="0" l="0" r="0" t="0"/>
            <wp:docPr descr="Advocacy Assembly" id="1" name="Picture"/>
            <a:graphic>
              <a:graphicData uri="http://schemas.openxmlformats.org/drawingml/2006/picture">
                <pic:pic>
                  <pic:nvPicPr>
                    <pic:cNvPr descr="img/education/aaphishing.png" id="0" name="Picture"/>
                    <pic:cNvPicPr>
                      <a:picLocks noChangeArrowheads="1" noChangeAspect="1"/>
                    </pic:cNvPicPr>
                  </pic:nvPicPr>
                  <pic:blipFill>
                    <a:blip r:embed="rId33"/>
                    <a:stretch>
                      <a:fillRect/>
                    </a:stretch>
                  </pic:blipFill>
                  <pic:spPr bwMode="auto">
                    <a:xfrm>
                      <a:off x="0" y="0"/>
                      <a:ext cx="5334000" cy="2800349"/>
                    </a:xfrm>
                    <a:prstGeom prst="rect">
                      <a:avLst/>
                    </a:prstGeom>
                    <a:noFill/>
                    <a:ln w="9525">
                      <a:noFill/>
                      <a:headEnd/>
                      <a:tailEnd/>
                    </a:ln>
                  </pic:spPr>
                </pic:pic>
              </a:graphicData>
            </a:graphic>
          </wp:inline>
        </w:drawing>
      </w:r>
      <w:r>
        <w:t xml:space="preserve"> </w:t>
      </w:r>
      <w:r>
        <w:drawing>
          <wp:inline>
            <wp:extent cx="5334000" cy="2202493"/>
            <wp:effectExtent b="0" l="0" r="0" t="0"/>
            <wp:docPr descr="EFF Surveillance Self Defence" id="1" name="Picture"/>
            <a:graphic>
              <a:graphicData uri="http://schemas.openxmlformats.org/drawingml/2006/picture">
                <pic:pic>
                  <pic:nvPicPr>
                    <pic:cNvPr descr="img/education/effssd.png" id="0" name="Picture"/>
                    <pic:cNvPicPr>
                      <a:picLocks noChangeArrowheads="1" noChangeAspect="1"/>
                    </pic:cNvPicPr>
                  </pic:nvPicPr>
                  <pic:blipFill>
                    <a:blip r:embed="rId34"/>
                    <a:stretch>
                      <a:fillRect/>
                    </a:stretch>
                  </pic:blipFill>
                  <pic:spPr bwMode="auto">
                    <a:xfrm>
                      <a:off x="0" y="0"/>
                      <a:ext cx="5334000" cy="2202493"/>
                    </a:xfrm>
                    <a:prstGeom prst="rect">
                      <a:avLst/>
                    </a:prstGeom>
                    <a:noFill/>
                    <a:ln w="9525">
                      <a:noFill/>
                      <a:headEnd/>
                      <a:tailEnd/>
                    </a:ln>
                  </pic:spPr>
                </pic:pic>
              </a:graphicData>
            </a:graphic>
          </wp:inline>
        </w:drawing>
      </w:r>
      <w:r>
        <w:t xml:space="preserve"> </w:t>
      </w:r>
      <w:r>
        <w:drawing>
          <wp:inline>
            <wp:extent cx="3136900" cy="1117600"/>
            <wp:effectExtent b="0" l="0" r="0" t="0"/>
            <wp:docPr descr="Level-Up.cc" id="1" name="Picture"/>
            <a:graphic>
              <a:graphicData uri="http://schemas.openxmlformats.org/drawingml/2006/picture">
                <pic:pic>
                  <pic:nvPicPr>
                    <pic:cNvPr descr="img/education/levelup.png" id="0" name="Picture"/>
                    <pic:cNvPicPr>
                      <a:picLocks noChangeArrowheads="1" noChangeAspect="1"/>
                    </pic:cNvPicPr>
                  </pic:nvPicPr>
                  <pic:blipFill>
                    <a:blip r:embed="rId35"/>
                    <a:stretch>
                      <a:fillRect/>
                    </a:stretch>
                  </pic:blipFill>
                  <pic:spPr bwMode="auto">
                    <a:xfrm>
                      <a:off x="0" y="0"/>
                      <a:ext cx="3136900" cy="1117600"/>
                    </a:xfrm>
                    <a:prstGeom prst="rect">
                      <a:avLst/>
                    </a:prstGeom>
                    <a:noFill/>
                    <a:ln w="9525">
                      <a:noFill/>
                      <a:headEnd/>
                      <a:tailEnd/>
                    </a:ln>
                  </pic:spPr>
                </pic:pic>
              </a:graphicData>
            </a:graphic>
          </wp:inline>
        </w:drawing>
      </w:r>
      <w:r>
        <w:t xml:space="preserve"> </w:t>
      </w:r>
      <w:r>
        <w:drawing>
          <wp:inline>
            <wp:extent cx="5334000" cy="1741714"/>
            <wp:effectExtent b="0" l="0" r="0" t="0"/>
            <wp:docPr descr="Me and my Shadow" id="1" name="Picture"/>
            <a:graphic>
              <a:graphicData uri="http://schemas.openxmlformats.org/drawingml/2006/picture">
                <pic:pic>
                  <pic:nvPicPr>
                    <pic:cNvPr descr="img/education/myshadow.png" id="0" name="Picture"/>
                    <pic:cNvPicPr>
                      <a:picLocks noChangeArrowheads="1" noChangeAspect="1"/>
                    </pic:cNvPicPr>
                  </pic:nvPicPr>
                  <pic:blipFill>
                    <a:blip r:embed="rId36"/>
                    <a:stretch>
                      <a:fillRect/>
                    </a:stretch>
                  </pic:blipFill>
                  <pic:spPr bwMode="auto">
                    <a:xfrm>
                      <a:off x="0" y="0"/>
                      <a:ext cx="5334000" cy="1741714"/>
                    </a:xfrm>
                    <a:prstGeom prst="rect">
                      <a:avLst/>
                    </a:prstGeom>
                    <a:noFill/>
                    <a:ln w="9525">
                      <a:noFill/>
                      <a:headEnd/>
                      <a:tailEnd/>
                    </a:ln>
                  </pic:spPr>
                </pic:pic>
              </a:graphicData>
            </a:graphic>
          </wp:inline>
        </w:drawing>
      </w:r>
      <w:r>
        <w:t xml:space="preserve"> </w:t>
      </w:r>
      <w:r>
        <w:drawing>
          <wp:inline>
            <wp:extent cx="3467100" cy="1168400"/>
            <wp:effectExtent b="0" l="0" r="0" t="0"/>
            <wp:docPr descr="Security in a Box" id="1" name="Picture"/>
            <a:graphic>
              <a:graphicData uri="http://schemas.openxmlformats.org/drawingml/2006/picture">
                <pic:pic>
                  <pic:nvPicPr>
                    <pic:cNvPr descr="img/education/siab.png" id="0" name="Picture"/>
                    <pic:cNvPicPr>
                      <a:picLocks noChangeArrowheads="1" noChangeAspect="1"/>
                    </pic:cNvPicPr>
                  </pic:nvPicPr>
                  <pic:blipFill>
                    <a:blip r:embed="rId37"/>
                    <a:stretch>
                      <a:fillRect/>
                    </a:stretch>
                  </pic:blipFill>
                  <pic:spPr bwMode="auto">
                    <a:xfrm>
                      <a:off x="0" y="0"/>
                      <a:ext cx="3467100" cy="1168400"/>
                    </a:xfrm>
                    <a:prstGeom prst="rect">
                      <a:avLst/>
                    </a:prstGeom>
                    <a:noFill/>
                    <a:ln w="9525">
                      <a:noFill/>
                      <a:headEnd/>
                      <a:tailEnd/>
                    </a:ln>
                  </pic:spPr>
                </pic:pic>
              </a:graphicData>
            </a:graphic>
          </wp:inline>
        </w:drawing>
      </w:r>
      <w:r>
        <w:t xml:space="preserve"> </w:t>
      </w:r>
      <w:r>
        <w:drawing>
          <wp:inline>
            <wp:extent cx="5334000" cy="1598662"/>
            <wp:effectExtent b="0" l="0" r="0" t="0"/>
            <wp:docPr descr="Umbrella App" id="1" name="Picture"/>
            <a:graphic>
              <a:graphicData uri="http://schemas.openxmlformats.org/drawingml/2006/picture">
                <pic:pic>
                  <pic:nvPicPr>
                    <pic:cNvPr descr="img/education/umbrella.png" id="0" name="Picture"/>
                    <pic:cNvPicPr>
                      <a:picLocks noChangeArrowheads="1" noChangeAspect="1"/>
                    </pic:cNvPicPr>
                  </pic:nvPicPr>
                  <pic:blipFill>
                    <a:blip r:embed="rId38"/>
                    <a:stretch>
                      <a:fillRect/>
                    </a:stretch>
                  </pic:blipFill>
                  <pic:spPr bwMode="auto">
                    <a:xfrm>
                      <a:off x="0" y="0"/>
                      <a:ext cx="5334000" cy="1598662"/>
                    </a:xfrm>
                    <a:prstGeom prst="rect">
                      <a:avLst/>
                    </a:prstGeom>
                    <a:noFill/>
                    <a:ln w="9525">
                      <a:noFill/>
                      <a:headEnd/>
                      <a:tailEnd/>
                    </a:ln>
                  </pic:spPr>
                </pic:pic>
              </a:graphicData>
            </a:graphic>
          </wp:inline>
        </w:drawing>
      </w:r>
    </w:p>
    <w:p>
      <w:pPr>
        <w:pStyle w:val="Heading2"/>
      </w:pPr>
      <w:bookmarkStart w:id="39" w:name="synthesis"/>
      <w:bookmarkEnd w:id="39"/>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5"/>
          <w:ilvl w:val="0"/>
        </w:numPr>
      </w:pPr>
      <w:r>
        <w:t xml:space="preserve">Issues they have found that affect their organisations</w:t>
      </w:r>
    </w:p>
    <w:p>
      <w:pPr>
        <w:pStyle w:val="Compact"/>
        <w:numPr>
          <w:numId w:val="1005"/>
          <w:ilvl w:val="0"/>
        </w:numPr>
      </w:pPr>
      <w:r>
        <w:t xml:space="preserve">Possible solutions they have learned</w:t>
      </w:r>
    </w:p>
    <w:p>
      <w:pPr>
        <w:pStyle w:val="Compact"/>
        <w:numPr>
          <w:numId w:val="1005"/>
          <w:ilvl w:val="0"/>
        </w:numPr>
      </w:pPr>
      <w:r>
        <w:t xml:space="preserve">Possible difficulties they may face in implementation (ideally using the time and experience of trainers and other participants)</w:t>
      </w:r>
    </w:p>
    <w:p>
      <w:pPr>
        <w:pStyle w:val="Compact"/>
        <w:numPr>
          <w:numId w:val="1005"/>
          <w:ilvl w:val="0"/>
        </w:numPr>
      </w:pPr>
      <w:r>
        <w:t xml:space="preserve">Things would need to overcome these difficulties</w:t>
      </w:r>
    </w:p>
    <w:p>
      <w:pPr>
        <w:pStyle w:val="Compact"/>
        <w:numPr>
          <w:numId w:val="1005"/>
          <w:ilvl w:val="0"/>
        </w:numPr>
      </w:pPr>
      <w:r>
        <w:t xml:space="preserve">Connections to other organisations or individuals that would help them</w:t>
      </w:r>
    </w:p>
    <w:p>
      <w:pPr>
        <w:pStyle w:val="Compact"/>
        <w:numPr>
          <w:numId w:val="1005"/>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40" w:name="resources"/>
      <w:bookmarkEnd w:id="40"/>
      <w:r>
        <w:t xml:space="preserve">Resources</w:t>
      </w:r>
    </w:p>
    <w:p>
      <w:pPr>
        <w:pStyle w:val="Compact"/>
        <w:numPr>
          <w:numId w:val="1006"/>
          <w:ilvl w:val="0"/>
        </w:numPr>
      </w:pPr>
      <w:hyperlink r:id="rId41">
        <w:r>
          <w:rPr>
            <w:rStyle w:val="Hyperlink"/>
          </w:rPr>
          <w:t xml:space="preserve">Level-Up</w:t>
        </w:r>
      </w:hyperlink>
    </w:p>
    <w:p>
      <w:pPr>
        <w:pStyle w:val="Compact"/>
        <w:numPr>
          <w:numId w:val="1006"/>
          <w:ilvl w:val="0"/>
        </w:numPr>
      </w:pPr>
      <w:hyperlink r:id="rId42">
        <w:r>
          <w:rPr>
            <w:rStyle w:val="Hyperlink"/>
          </w:rPr>
          <w:t xml:space="preserve">My Shadow</w:t>
        </w:r>
      </w:hyperlink>
    </w:p>
    <w:p>
      <w:pPr>
        <w:pStyle w:val="Compact"/>
        <w:numPr>
          <w:numId w:val="1006"/>
          <w:ilvl w:val="0"/>
        </w:numPr>
      </w:pPr>
      <w:hyperlink r:id="rId43">
        <w:r>
          <w:rPr>
            <w:rStyle w:val="Hyperlink"/>
          </w:rPr>
          <w:t xml:space="preserve">NIST: National Initiative for Cybersecurity Education</w:t>
        </w:r>
      </w:hyperlink>
    </w:p>
    <w:p>
      <w:pPr>
        <w:pStyle w:val="Compact"/>
        <w:numPr>
          <w:numId w:val="1006"/>
          <w:ilvl w:val="0"/>
        </w:numPr>
      </w:pPr>
      <w:hyperlink r:id="rId44">
        <w:r>
          <w:rPr>
            <w:rStyle w:val="Hyperlink"/>
          </w:rPr>
          <w:t xml:space="preserve">Guide for System Administrators in At‐Risk Organizations: Physical Security</w:t>
        </w:r>
      </w:hyperlink>
    </w:p>
    <w:p>
      <w:pPr>
        <w:pStyle w:val="Compact"/>
        <w:numPr>
          <w:numId w:val="1006"/>
          <w:ilvl w:val="0"/>
        </w:numPr>
      </w:pPr>
      <w:r>
        <w:t xml:space="preserve">Digital Security Diagnostics for Civil Society Organizations: A guide for facilitators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4d1e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3c5395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3" Target="http://nvlpubs.nist.gov/nistpubs/SpecialPublications/NIST.SP.800-181.pdf" TargetMode="External" /><Relationship Type="http://schemas.openxmlformats.org/officeDocument/2006/relationships/hyperlink" Id="rId44" Target="https://github.com/OpenInternet/System_Administrator_Guide_Text/blob/master/en/best_practices/staff_awareness_and_communications/index.md" TargetMode="External" /><Relationship Type="http://schemas.openxmlformats.org/officeDocument/2006/relationships/hyperlink" Id="rId41" Target="https://level-up.cc/" TargetMode="External" /><Relationship Type="http://schemas.openxmlformats.org/officeDocument/2006/relationships/hyperlink" Id="rId42" Target="https://myshadow.org/" TargetMode="External" /><Relationship Type="http://schemas.openxmlformats.org/officeDocument/2006/relationships/hyperlink" Id="rId23" Target="https://www.level-up.cc" TargetMode="External" /></Relationships>
</file>

<file path=word/_rels/footnotes.xml.rels><?xml version="1.0" encoding="UTF-8"?>
<Relationships xmlns="http://schemas.openxmlformats.org/package/2006/relationships"><Relationship Type="http://schemas.openxmlformats.org/officeDocument/2006/relationships/hyperlink" Id="rId43" Target="http://nvlpubs.nist.gov/nistpubs/SpecialPublications/NIST.SP.800-181.pdf" TargetMode="External" /><Relationship Type="http://schemas.openxmlformats.org/officeDocument/2006/relationships/hyperlink" Id="rId44" Target="https://github.com/OpenInternet/System_Administrator_Guide_Text/blob/master/en/best_practices/staff_awareness_and_communications/index.md" TargetMode="External" /><Relationship Type="http://schemas.openxmlformats.org/officeDocument/2006/relationships/hyperlink" Id="rId41" Target="https://level-up.cc/" TargetMode="External" /><Relationship Type="http://schemas.openxmlformats.org/officeDocument/2006/relationships/hyperlink" Id="rId42" Target="https://myshadow.org/" TargetMode="External" /><Relationship Type="http://schemas.openxmlformats.org/officeDocument/2006/relationships/hyperlink" Id="rId23" Target="https://www.level-up.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