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and funding</w:t>
      </w:r>
    </w:p>
    <w:p>
      <w:r>
        <w:t xml:space="preserve">This file uses heading levels 1, 2, 3, 3, 2 in that order. No levels are skipped, so a heading level check should pass on this file.</w:t>
      </w:r>
    </w:p>
    <w:p>
      <w:pPr>
        <w:pStyle w:val="Heading2"/>
      </w:pPr>
      <w:r>
        <w:t xml:space="preserve">Eligibility</w:t>
      </w:r>
    </w:p>
    <w:p>
      <w:r>
        <w:t xml:space="preserve">Applicants must be based in Australia and must not have received a grant in the previous two years.</w:t>
      </w:r>
    </w:p>
    <w:p>
      <w:pPr>
        <w:pStyle w:val="Heading3"/>
      </w:pPr>
      <w:r>
        <w:t xml:space="preserve">Individuals</w:t>
      </w:r>
    </w:p>
    <w:p>
      <w:r>
        <w:t xml:space="preserve">Individual applicants need to supply proof of identity and a project outline.</w:t>
      </w:r>
    </w:p>
    <w:p>
      <w:pPr>
        <w:pStyle w:val="Heading3"/>
      </w:pPr>
      <w:r>
        <w:t xml:space="preserve">Organisations</w:t>
      </w:r>
    </w:p>
    <w:p>
      <w:r>
        <w:t xml:space="preserve">Organisations need to supply an ABN and their most recent annual report.</w:t>
      </w:r>
    </w:p>
    <w:p>
      <w:pPr>
        <w:pStyle w:val="Heading2"/>
      </w:pPr>
      <w:r>
        <w:t xml:space="preserve">Reporting</w:t>
      </w:r>
    </w:p>
    <w:p>
      <w:r>
        <w:t xml:space="preserve">Successful applicants submit a short report within three months of the project finishing.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Headings correct levels</dc:title>
  <dc:creator>Intopia</dc:creator>
  <cp:lastModifiedBy>Intopia</cp:lastModifiedBy>
  <cp:revision>1</cp:revision>
  <dcterms:created xsi:type="dcterms:W3CDTF">2026-08-29T00:38:06.302Z</dcterms:created>
  <dcterms:modified xsi:type="dcterms:W3CDTF">2026-08-29T00:38:06.302Z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