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drawing>
          <wp:anchor distT="0" distB="0" distL="0" distR="0" simplePos="0" allowOverlap="1" behindDoc="0" locked="0" layoutInCell="1" relativeHeight="1524000">
            <wp:simplePos x="0" y="0"/>
            <wp:positionH relativeFrom="column">
              <wp:posOffset>2600000</wp:posOffset>
            </wp:positionH>
            <wp:positionV relativeFrom="paragraph">
              <wp:posOffset>0</wp:posOffset>
            </wp:positionV>
            <wp:extent cx="2476500" cy="1524000"/>
            <wp:effectExtent t="0" r="0" b="0" l="0"/>
            <wp:wrapSquare wrapText="left" distT="0" distB="0" distL="0" distR="0"/>
            <wp:docPr id="1" name="Picture 1" descr="Bar chart of grants awarded by year. 42 in 2022, 58 in 2023, 51 in 2024 and 73 in 202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 chart of grants awarded by year. 42 in 2022, 58 in 2023, 51 in 2024 and 73 in 2025.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This image floats with square text wrapping, so it sits inside a wp:anchor element rather than a wp:inline element. The alt text is present and meaningful. A parser that matches only on wp:inline will not see this image at all.</w:t>
      </w:r>
    </w:p>
    <w:p>
      <w:r>
        <w:t xml:space="preserve">The grants program has run since 2022. Numbers rose sharply in 2025 following changes to the eligibility rules, which opened the program to organisations as well as individuals.</w:t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floating</dc:title>
  <dc:creator>Intopia</dc:creator>
  <cp:lastModifiedBy>Intopia</cp:lastModifiedBy>
  <cp:revision>1</cp:revision>
  <dcterms:created xsi:type="dcterms:W3CDTF">2026-08-29T04:37:25.950Z</dcterms:created>
  <dcterms:modified xsi:type="dcterms:W3CDTF">2026-08-29T04:37:25.950Z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