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Eligible costs</w:t>
      </w:r>
    </w:p>
    <w:p>
      <w:r>
        <w:t xml:space="preserve">The two blank looking paragraphs in the list below both carry a numPr, so they are empty list items and belong to the lists test. The empty paragraph check should not claim them.</w:t>
      </w:r>
    </w:p>
    <w:p>
      <w:pPr>
        <w:pStyle w:val="ListParagraph"/>
        <w:numPr>
          <w:ilvl w:val="0"/>
          <w:numId w:val="2"/>
        </w:numPr>
      </w:pPr>
      <w:r>
        <w:t xml:space="preserve">Airfares within Australia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  <w:r>
        <w:t xml:space="preserve">Registration fees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numPr not ours</dc:title>
  <dc:creator>Intopia</dc:creator>
  <cp:lastModifiedBy>Intopia</cp:lastModifiedBy>
  <cp:revision>1</cp:revision>
  <dcterms:created xsi:type="dcterms:W3CDTF">2026-08-30T12:56:03.793Z</dcterms:created>
  <dcterms:modified xsi:type="dcterms:W3CDTF">2026-08-30T12:56:03.793Z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