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spacing w:before="0" w:after="0"/>
        <w:ind w:hanging="0" w:left="0" w:right="0"/>
        <w:jc w:val="center"/>
        <w:rPr>
          <w:rFonts w:ascii="TT Norms Pro;sans-serif" w:hAnsi="TT Norms Pro;sans-serif"/>
          <w:b/>
          <w:bCs/>
          <w:i w:val="false"/>
          <w:caps w:val="false"/>
          <w:smallCaps w:val="false"/>
          <w:color w:val="212529"/>
          <w:spacing w:val="0"/>
          <w:sz w:val="32"/>
          <w:szCs w:val="32"/>
        </w:rPr>
      </w:pPr>
      <w:r>
        <w:rPr>
          <w:rFonts w:ascii="TT Norms Pro;sans-serif" w:hAnsi="TT Norms Pro;sans-serif"/>
          <w:b/>
          <w:bCs/>
          <w:i w:val="false"/>
          <w:caps w:val="false"/>
          <w:smallCaps w:val="false"/>
          <w:color w:val="212529"/>
          <w:spacing w:val="0"/>
          <w:sz w:val="32"/>
          <w:szCs w:val="32"/>
        </w:rPr>
        <w:t>Содержание дата сета.</w:t>
      </w:r>
    </w:p>
    <w:p>
      <w:pPr>
        <w:pStyle w:val="BodyText"/>
        <w:widowControl/>
        <w:bidi w:val="0"/>
        <w:spacing w:before="0" w:after="0"/>
        <w:ind w:hanging="0" w:left="0" w:right="0"/>
        <w:jc w:val="left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 xml:space="preserve">Набор данных содержит статистические показатели распространения ВИЧ-инфекции по субъектам РФ за 2012-2019 годы. </w:t>
      </w:r>
    </w:p>
    <w:p>
      <w:pPr>
        <w:pStyle w:val="BodyText"/>
        <w:widowControl/>
        <w:bidi w:val="0"/>
        <w:spacing w:before="0" w:after="0"/>
        <w:ind w:hanging="0" w:left="0" w:right="0"/>
        <w:jc w:val="left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Включает следующие показатели: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Доля ВИЧ-инфицированных лиц, получающих антиретровирусную терапию, от числа состоящих на диспансерном учёте;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Доля ВИЧ-инфицированных лиц, состоящих на диспансерном учёте, от числа выявленных;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Заболеваемость с впервые в жизни установленным диагнозом ВИЧ-инфекции на 100 тыс. человек населения;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Охват пар «мать – дитя» химиопрофилактикой в соответствии с действующими стандартами;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Число зарегистрированных больных с впервые в жизни установленным диагнозом ВИЧ-инфекции;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  <w:t>Число лиц, обследованных на антитела к ВИЧ-инфекции в разрезе деления контингента обследованных на граждан РФ и иностранных граждан.</w:t>
      </w:r>
    </w:p>
    <w:p>
      <w:pPr>
        <w:pStyle w:val="BodyText"/>
        <w:widowControl/>
        <w:bidi w:val="0"/>
        <w:spacing w:before="0" w:after="0"/>
        <w:ind w:hanging="0" w:left="0" w:right="0"/>
        <w:jc w:val="both"/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ascii="TT Norms Pro;sans-serif" w:hAnsi="TT Norms Pro;sans-serif"/>
          <w:b w:val="false"/>
          <w:i w:val="false"/>
          <w:caps w:val="false"/>
          <w:smallCaps w:val="false"/>
          <w:color w:val="212529"/>
          <w:spacing w:val="0"/>
          <w:sz w:val="24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3016"/>
        <w:gridCol w:w="4722"/>
        <w:gridCol w:w="1900"/>
      </w:tblGrid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field name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russian description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format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territory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Наименование территории по ОКАТО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string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hiv_therapy_regdispensaries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Доля ВИЧ-инфицированных лиц, получающих антиретровирусную терапию, от числа состоящих на диспансерном учёте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hiv_regdispensaries_numdetect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Доля ВИЧ-инфицированных лиц, состоящих на диспансерном учёте, от числа выявленных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hiv_firstdiagnosis_100k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Заболеваемость с впервые в жизни установленным диагнозом ВИЧ-инфекции на 100 тыс. человек населения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hiv_motherchild_chemoprophylaxis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Охват пар «мать – дитя»  химиопрофилактикой в соответствии с действующими стандартами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hiv_regnum_firstdiagnosis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Число зарегистрированных больных с впервые в жизни установленным диагнозом ВИЧ-инфекции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hiv_totalnumrussian_tested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Совокупное число граждан РФ, обследованных на антитела к ВИЧ-инфекции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hiv_totalnumforeign_tested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Совокупное число иностранных граждан, обследованных на антитела к ВИЧ-инфекции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/>
              <w:t>num_alldoctors_inmedorgservices</w:t>
            </w:r>
          </w:p>
          <w:p>
            <w:pPr>
              <w:pStyle w:val="Normal"/>
              <w:tabs>
                <w:tab w:val="clear" w:pos="709"/>
              </w:tabs>
              <w:bidi w:val="0"/>
              <w:ind w:hanging="0" w:left="-1077" w:right="0"/>
              <w:jc w:val="lef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Численность врачей всех специальностей (физических лиц) в организациях, оказывающих медицинские услуги населению, на конец отчетного года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num_infectiousdoctors_inmedorgservices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Численность врачей-инфекционистов (физических лиц) в организациях, оказывающих медицинские услуги населению, на конец отчетного года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per_infectious_inalldoctors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Доля врачей-инфекционистов из общей численности врачей всех специальностей (физических лиц) в организациях, оказывающих медицинские услуги населению, на конец отчетного года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numeric</w:t>
            </w:r>
          </w:p>
        </w:tc>
      </w:tr>
      <w:tr>
        <w:trPr>
          <w:trHeight w:val="256" w:hRule="atLeast"/>
        </w:trPr>
        <w:tc>
          <w:tcPr>
            <w:tcW w:w="3016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year</w:t>
            </w:r>
          </w:p>
        </w:tc>
        <w:tc>
          <w:tcPr>
            <w:tcW w:w="4722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Отчетный год</w:t>
            </w:r>
          </w:p>
        </w:tc>
        <w:tc>
          <w:tcPr>
            <w:tcW w:w="1900" w:type="dxa"/>
            <w:tcBorders/>
            <w:vAlign w:val="bottom"/>
          </w:tcPr>
          <w:p>
            <w:pPr>
              <w:pStyle w:val="Normal"/>
              <w:tabs>
                <w:tab w:val="clear" w:pos="709"/>
              </w:tabs>
              <w:bidi w:val="0"/>
              <w:jc w:val="left"/>
              <w:rPr/>
            </w:pPr>
            <w:r>
              <w:rPr>
                <w:rFonts w:ascii="Liberation Sans" w:hAnsi="Liberation Sans"/>
              </w:rPr>
              <w:t>string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Задача.</w:t>
      </w:r>
    </w:p>
    <w:p>
      <w:pPr>
        <w:pStyle w:val="Normal"/>
        <w:bidi w:val="0"/>
        <w:jc w:val="left"/>
        <w:rPr>
          <w:color w:val="000000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Выявить динамику и различия заболеваемости ВИЧ-инфекцией по регионам в России за 2012–2019 годы.</w:t>
      </w:r>
    </w:p>
    <w:p>
      <w:pPr>
        <w:pStyle w:val="Normal"/>
        <w:bidi w:val="0"/>
        <w:jc w:val="lef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Что реализовано.</w:t>
      </w:r>
    </w:p>
    <w:p>
      <w:pPr>
        <w:pStyle w:val="Normal"/>
        <w:bidi w:val="0"/>
        <w:jc w:val="lef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>Сводная таблица.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Показана средняя заболеваемость по каждому региону за все годы и по каждому году в целом по России.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 xml:space="preserve">Тепловая карта.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Цветовое выделение высоких и низких показателей. Наглядно определены регионы с высокой заболеваемостью.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color w:val="000000"/>
          <w:spacing w:val="0"/>
          <w:sz w:val="24"/>
        </w:rPr>
        <w:t>Минимальные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color w:val="000000"/>
          <w:spacing w:val="0"/>
          <w:sz w:val="24"/>
        </w:rPr>
        <w:t>и максимальные значения по годам с построением диаграмм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</w:rPr>
        <w:t xml:space="preserve">.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Можно увидеть, когда было «затишье» по заболеваемости и когда были самые высокие значения.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24"/>
        </w:rPr>
        <w:t>Сводная таблица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по охвату пар «мать – дитя»  химиопрофилактикой в соответствии с действующими стандартами, найдено среднее значение химиопрофилактики по России за указанный период и топ-5 лучших регионов.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lef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</w:r>
    </w:p>
    <w:p>
      <w:pPr>
        <w:pStyle w:val="Normal"/>
        <w:bidi w:val="0"/>
        <w:jc w:val="center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000000"/>
          <w:spacing w:val="0"/>
          <w:sz w:val="32"/>
          <w:szCs w:val="32"/>
        </w:rPr>
        <w:t>Выводы.</w:t>
      </w:r>
    </w:p>
    <w:p>
      <w:pPr>
        <w:pStyle w:val="Heading2"/>
        <w:bidi w:val="0"/>
        <w:jc w:val="left"/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000000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 w:val="false"/>
          <w:i w:val="false"/>
          <w:caps w:val="false"/>
          <w:smallCaps w:val="false"/>
          <w:color w:val="000000"/>
          <w:spacing w:val="0"/>
          <w:sz w:val="33"/>
        </w:rPr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Пик заболеваемости в России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пришёлся на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2014-2015 годы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(максимум 239,8 случаев на 100 тыс.)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Регионы сильно различаются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: разрыв между минимумом и максимумом достигал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30-40 раз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(от 4,5 до 239,8)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После 2015 года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максимальные показатели снижаются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 (с 239 до 164 к 2019 году)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>Тепловая карта и реализация функций НАИБОЛЬШИЙ, ИНДЕКС И ПОИСКПОЗ наглядно показывают, что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00000"/>
          <w:spacing w:val="0"/>
          <w:sz w:val="24"/>
        </w:rPr>
        <w:t>наиболее проблемные регионы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 — Сибирский и </w:t>
      </w:r>
      <w:r>
        <w:rPr>
          <w:rFonts w:eastAsia="NSimSun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ru-RU" w:eastAsia="zh-CN" w:bidi="hi-IN"/>
        </w:rPr>
        <w:t>Уральский федеральные округа.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bidi w:val="0"/>
        <w:spacing w:before="0" w:after="0"/>
        <w:ind w:hanging="0" w:left="0" w:right="0"/>
        <w:jc w:val="left"/>
        <w:rPr/>
      </w:pPr>
      <w:r>
        <w:rPr>
          <w:rStyle w:val="Strong"/>
          <w:rFonts w:eastAsia="NSimSun" w:cs="Arial"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lang w:val="ru-RU" w:eastAsia="zh-CN" w:bidi="hi-IN"/>
        </w:rPr>
        <w:t xml:space="preserve">Сводная таблица по охвату пар «мать – дитя»  химиопрофилактикой в соответствии с действующими стандартами </w:t>
      </w:r>
    </w:p>
    <w:p>
      <w:pPr>
        <w:pStyle w:val="BodyText"/>
        <w:widowControl/>
        <w:tabs>
          <w:tab w:val="clear" w:pos="709"/>
          <w:tab w:val="left" w:pos="0" w:leader="none"/>
        </w:tabs>
        <w:suppressAutoHyphens w:val="true"/>
        <w:bidi w:val="0"/>
        <w:spacing w:before="0" w:after="0"/>
        <w:ind w:hanging="0" w:left="0" w:right="0"/>
        <w:jc w:val="lef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</w:rPr>
      </w:r>
    </w:p>
    <w:p>
      <w:pPr>
        <w:pStyle w:val="BodyText"/>
        <w:widowControl/>
        <w:tabs>
          <w:tab w:val="clear" w:pos="709"/>
          <w:tab w:val="left" w:pos="0" w:leader="none"/>
        </w:tabs>
        <w:suppressAutoHyphens w:val="true"/>
        <w:bidi w:val="0"/>
        <w:spacing w:before="0" w:after="0"/>
        <w:ind w:hanging="0" w:left="0" w:right="0"/>
        <w:jc w:val="left"/>
        <w:rPr>
          <w:color w:val="00000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</w:rPr>
        <w:t>*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00000"/>
          <w:spacing w:val="0"/>
          <w:sz w:val="24"/>
        </w:rPr>
        <w:t xml:space="preserve">*«Показатель "охват пар мать-дитя химиопрофилактикой" измеряет долю ВИЧ-положительных беременных и их детей, получивших профилактику для предотвращения вертикальной передачи ВИЧ.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T Norms Pro">
    <w:altName w:val="sans-serif"/>
    <w:charset w:val="cc"/>
    <w:family w:val="roman"/>
    <w:pitch w:val="variable"/>
  </w:font>
  <w:font w:name="quote-cjk-patch">
    <w:altName w:val="Inter"/>
    <w:charset w:val="cc"/>
    <w:family w:val="roman"/>
    <w:pitch w:val="variable"/>
  </w:font>
  <w:font w:name="quote-cjk-patch">
    <w:altName w:val="Inter"/>
    <w:charset w:val="cc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5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user2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3">
    <w:name w:val="Заголовок таблицы (user)"/>
    <w:basedOn w:val="user2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LibreOffice/25.8.6.2$Windows_X86_64 LibreOffice_project/b4b39682cd9868fa725bc664aff94278d315bd04</Application>
  <AppVersion>15.0000</AppVersion>
  <Pages>3</Pages>
  <Words>458</Words>
  <Characters>3338</Characters>
  <CharactersWithSpaces>3733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2026-04-28T15:21:17Z</dcterms:created>
  <dc:creator/>
  <dc:description/>
  <dc:language>ru-RU</dc:language>
  <cp:lastModifiedBy/>
  <dcterms:modified xsi:type="dcterms:W3CDTF">2026-04-28T22:32:13Z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