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before="40" w:after="80"/>
      </w:pPr>
      <w:r>
        <w:rPr>
          <w:rFonts w:ascii="Arial" w:hAnsi="Arial"/>
          <w:b/>
          <w:i w:val="0"/>
          <w:color w:val="0097B2"/>
          <w:sz w:val="18"/>
        </w:rPr>
        <w:t>FINAL APPROVED WEBSITE STRUCTURE AND COPY</w:t>
      </w:r>
    </w:p>
    <w:p>
      <w:pPr>
        <w:spacing w:after="160"/>
      </w:pPr>
      <w:r>
        <w:rPr>
          <w:rFonts w:ascii="Arial" w:hAnsi="Arial"/>
          <w:b/>
          <w:i w:val="0"/>
          <w:color w:val="006D80"/>
          <w:sz w:val="56"/>
        </w:rPr>
        <w:t>MUG.UP WEBSITE UPDATES</w:t>
      </w:r>
    </w:p>
    <w:p>
      <w:pPr>
        <w:spacing w:after="360"/>
      </w:pPr>
      <w:r>
        <w:rPr>
          <w:rFonts w:ascii="Arial" w:hAnsi="Arial"/>
          <w:b/>
          <w:i w:val="0"/>
          <w:color w:val="24343A"/>
          <w:sz w:val="30"/>
        </w:rPr>
        <w:t>British Education + Global Integration</w:t>
      </w:r>
    </w:p>
    <w:p>
      <w:pPr>
        <w:spacing w:after="360" w:line="300" w:lineRule="auto"/>
      </w:pPr>
      <w:r>
        <w:rPr>
          <w:rFonts w:ascii="Arial" w:hAnsi="Arial"/>
          <w:b w:val="0"/>
          <w:i w:val="0"/>
          <w:color w:val="68777D"/>
          <w:sz w:val="22"/>
        </w:rPr>
        <w:t>Final content handoff for the website team. This version clarifies the two main user journeys, removes duplicate service pages, and positions British boarding school support specifically for international students.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0097B2"/>
          </w:tcPr>
          <w:p>
            <w:pPr>
              <w:spacing w:after="0"/>
            </w:pPr>
            <w:r>
              <w:rPr>
                <w:rFonts w:ascii="Arial" w:hAnsi="Arial"/>
                <w:b/>
                <w:i w:val="0"/>
                <w:color w:val="FFFFFF"/>
                <w:sz w:val="20"/>
              </w:rPr>
              <w:t>Primary website area</w:t>
            </w:r>
          </w:p>
        </w:tc>
        <w:tc>
          <w:tcPr>
            <w:tcW w:type="dxa" w:w="6660"/>
            <w:tcMar>
              <w:top w:w="100" w:type="dxa"/>
              <w:start w:w="140" w:type="dxa"/>
              <w:bottom w:w="100" w:type="dxa"/>
              <w:end w:w="140" w:type="dxa"/>
            </w:tcMar>
            <w:vAlign w:val="center"/>
            <w:shd w:fill="0097B2"/>
          </w:tcPr>
          <w:p>
            <w:pPr>
              <w:spacing w:after="0"/>
            </w:pPr>
            <w:r>
              <w:rPr>
                <w:rFonts w:ascii="Arial" w:hAnsi="Arial"/>
                <w:b/>
                <w:i w:val="0"/>
                <w:color w:val="FFFFFF"/>
                <w:sz w:val="20"/>
              </w:rPr>
              <w:t>Purpose</w:t>
            </w:r>
          </w:p>
        </w:tc>
      </w:tr>
      <w:tr>
        <w:tc>
          <w:tcPr>
            <w:tcW w:type="dxa" w:w="27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Mug.Up Britain</w:t>
            </w:r>
          </w:p>
        </w:tc>
        <w:tc>
          <w:tcPr>
            <w:tcW w:type="dxa" w:w="66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British curriculum pathways, academic support and progression within the British education system.</w:t>
            </w:r>
          </w:p>
        </w:tc>
      </w:tr>
      <w:tr>
        <w:tc>
          <w:tcPr>
            <w:tcW w:type="dxa" w:w="2700"/>
            <w:tcMar>
              <w:top w:w="100" w:type="dxa"/>
              <w:start w:w="140" w:type="dxa"/>
              <w:bottom w:w="100" w:type="dxa"/>
              <w:end w:w="140" w:type="dxa"/>
            </w:tcMar>
            <w:vAlign w:val="center"/>
          </w:tcPr>
          <w:p>
            <w:pPr>
              <w:spacing w:after="0" w:line="276" w:lineRule="auto"/>
            </w:pPr>
            <w:r>
              <w:rPr>
                <w:rFonts w:ascii="Arial" w:hAnsi="Arial"/>
                <w:b w:val="0"/>
                <w:i w:val="0"/>
                <w:color w:val="24343A"/>
                <w:sz w:val="20"/>
              </w:rPr>
              <w:t>Mug.Up Global Integration</w:t>
            </w:r>
          </w:p>
        </w:tc>
        <w:tc>
          <w:tcPr>
            <w:tcW w:type="dxa" w:w="6660"/>
            <w:tcMar>
              <w:top w:w="100" w:type="dxa"/>
              <w:start w:w="140" w:type="dxa"/>
              <w:bottom w:w="100" w:type="dxa"/>
              <w:end w:w="140" w:type="dxa"/>
            </w:tcMar>
            <w:vAlign w:val="center"/>
          </w:tcPr>
          <w:p>
            <w:pPr>
              <w:spacing w:after="0" w:line="276" w:lineRule="auto"/>
            </w:pPr>
            <w:r>
              <w:rPr>
                <w:rFonts w:ascii="Arial" w:hAnsi="Arial"/>
                <w:b w:val="0"/>
                <w:i w:val="0"/>
                <w:color w:val="24343A"/>
                <w:sz w:val="20"/>
              </w:rPr>
              <w:t>Languages, integration, international qualifications and international education opportunities.</w:t>
            </w:r>
          </w:p>
        </w:tc>
      </w:tr>
      <w:tr>
        <w:tc>
          <w:tcPr>
            <w:tcW w:type="dxa" w:w="27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British Boarding Schools</w:t>
            </w:r>
          </w:p>
        </w:tc>
        <w:tc>
          <w:tcPr>
            <w:tcW w:type="dxa" w:w="66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A Global Integration service for international students applying to boarding schools in the UK.</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IMPLEMENTATION RULE: ONE BOARDING SCHOOL PAGE — NO DUPLICATE COPY</w:t>
            </w:r>
          </w:p>
        </w:tc>
      </w:tr>
    </w:tbl>
    <w:p>
      <w:pPr>
        <w:spacing w:after="0"/>
      </w:pPr>
    </w:p>
    <w:p>
      <w:r>
        <w:br w:type="page"/>
      </w:r>
    </w:p>
    <w:p>
      <w:pPr>
        <w:pStyle w:val="Heading1"/>
      </w:pPr>
      <w:r>
        <w:t>1. Final Site Logic</w:t>
      </w:r>
    </w:p>
    <w:p>
      <w:pPr>
        <w:spacing w:after="120" w:line="300" w:lineRule="auto"/>
      </w:pPr>
      <w:r>
        <w:rPr>
          <w:rFonts w:ascii="Arial" w:hAnsi="Arial"/>
          <w:b w:val="0"/>
          <w:i w:val="0"/>
          <w:color w:val="24343A"/>
          <w:sz w:val="22"/>
        </w:rPr>
        <w:t>The website should lead visitors into one of two clear pathways. Each service page must have one primary location, while relevant sections elsewhere may link to it.</w:t>
      </w:r>
    </w:p>
    <w:p>
      <w:pPr>
        <w:pStyle w:val="Heading2"/>
      </w:pPr>
      <w:r>
        <w:t>Top-level navigation</w:t>
      </w:r>
    </w:p>
    <w:p>
      <w:pPr>
        <w:pStyle w:val="ListBullet"/>
        <w:spacing w:after="80" w:line="300" w:lineRule="auto"/>
        <w:ind w:left="540" w:hanging="271"/>
      </w:pPr>
      <w:r>
        <w:rPr>
          <w:rFonts w:ascii="Arial" w:hAnsi="Arial"/>
          <w:b w:val="0"/>
          <w:i w:val="0"/>
          <w:color w:val="24343A"/>
          <w:sz w:val="22"/>
        </w:rPr>
        <w:t>Home</w:t>
      </w:r>
    </w:p>
    <w:p>
      <w:pPr>
        <w:pStyle w:val="ListBullet"/>
        <w:spacing w:after="80" w:line="300" w:lineRule="auto"/>
        <w:ind w:left="540" w:hanging="271"/>
      </w:pPr>
      <w:r>
        <w:rPr>
          <w:rFonts w:ascii="Arial" w:hAnsi="Arial"/>
          <w:b w:val="0"/>
          <w:i w:val="0"/>
          <w:color w:val="24343A"/>
          <w:sz w:val="22"/>
        </w:rPr>
        <w:t>British Education</w:t>
      </w:r>
    </w:p>
    <w:p>
      <w:pPr>
        <w:pStyle w:val="ListBullet"/>
        <w:spacing w:after="80" w:line="300" w:lineRule="auto"/>
        <w:ind w:left="540" w:hanging="271"/>
      </w:pPr>
      <w:r>
        <w:rPr>
          <w:rFonts w:ascii="Arial" w:hAnsi="Arial"/>
          <w:b w:val="0"/>
          <w:i w:val="0"/>
          <w:color w:val="24343A"/>
          <w:sz w:val="22"/>
        </w:rPr>
        <w:t>Global Integration</w:t>
      </w:r>
    </w:p>
    <w:p>
      <w:pPr>
        <w:pStyle w:val="ListBullet"/>
        <w:spacing w:after="80" w:line="300" w:lineRule="auto"/>
        <w:ind w:left="540" w:hanging="271"/>
      </w:pPr>
      <w:r>
        <w:rPr>
          <w:rFonts w:ascii="Arial" w:hAnsi="Arial"/>
          <w:b w:val="0"/>
          <w:i w:val="0"/>
          <w:color w:val="24343A"/>
          <w:sz w:val="22"/>
        </w:rPr>
        <w:t>Courses &amp; Programmes</w:t>
      </w:r>
    </w:p>
    <w:p>
      <w:pPr>
        <w:pStyle w:val="ListBullet"/>
        <w:spacing w:after="80" w:line="300" w:lineRule="auto"/>
        <w:ind w:left="540" w:hanging="271"/>
      </w:pPr>
      <w:r>
        <w:rPr>
          <w:rFonts w:ascii="Arial" w:hAnsi="Arial"/>
          <w:b w:val="0"/>
          <w:i w:val="0"/>
          <w:color w:val="24343A"/>
          <w:sz w:val="22"/>
        </w:rPr>
        <w:t>About Us</w:t>
      </w:r>
    </w:p>
    <w:p>
      <w:pPr>
        <w:pStyle w:val="ListBullet"/>
        <w:spacing w:after="80" w:line="300" w:lineRule="auto"/>
        <w:ind w:left="540" w:hanging="271"/>
      </w:pPr>
      <w:r>
        <w:rPr>
          <w:rFonts w:ascii="Arial" w:hAnsi="Arial"/>
          <w:b w:val="0"/>
          <w:i w:val="0"/>
          <w:color w:val="24343A"/>
          <w:sz w:val="22"/>
        </w:rPr>
        <w:t>Contact</w:t>
      </w:r>
    </w:p>
    <w:p>
      <w:pPr>
        <w:pStyle w:val="ListBullet"/>
        <w:spacing w:after="80" w:line="300" w:lineRule="auto"/>
        <w:ind w:left="540" w:hanging="271"/>
      </w:pPr>
      <w:r>
        <w:rPr>
          <w:rFonts w:ascii="Arial" w:hAnsi="Arial"/>
          <w:b w:val="0"/>
          <w:i w:val="0"/>
          <w:color w:val="24343A"/>
          <w:sz w:val="22"/>
        </w:rPr>
        <w:t>Book an Assessment</w:t>
      </w:r>
    </w:p>
    <w:p>
      <w:pPr>
        <w:pStyle w:val="Heading2"/>
      </w:pPr>
      <w:r>
        <w:t>Primary content hierarchy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100" w:type="dxa"/>
              <w:start w:w="140" w:type="dxa"/>
              <w:bottom w:w="100" w:type="dxa"/>
              <w:end w:w="140" w:type="dxa"/>
            </w:tcMar>
            <w:vAlign w:val="center"/>
            <w:shd w:fill="0097B2"/>
          </w:tcPr>
          <w:p>
            <w:pPr>
              <w:spacing w:after="0"/>
            </w:pPr>
            <w:r>
              <w:rPr>
                <w:rFonts w:ascii="Arial" w:hAnsi="Arial"/>
                <w:b/>
                <w:i w:val="0"/>
                <w:color w:val="FFFFFF"/>
                <w:sz w:val="20"/>
              </w:rPr>
              <w:t>Section</w:t>
            </w:r>
          </w:p>
        </w:tc>
        <w:tc>
          <w:tcPr>
            <w:tcW w:type="dxa" w:w="6860"/>
            <w:tcMar>
              <w:top w:w="100" w:type="dxa"/>
              <w:start w:w="140" w:type="dxa"/>
              <w:bottom w:w="100" w:type="dxa"/>
              <w:end w:w="140" w:type="dxa"/>
            </w:tcMar>
            <w:vAlign w:val="center"/>
            <w:shd w:fill="0097B2"/>
          </w:tcPr>
          <w:p>
            <w:pPr>
              <w:spacing w:after="0"/>
            </w:pPr>
            <w:r>
              <w:rPr>
                <w:rFonts w:ascii="Arial" w:hAnsi="Arial"/>
                <w:b/>
                <w:i w:val="0"/>
                <w:color w:val="FFFFFF"/>
                <w:sz w:val="20"/>
              </w:rPr>
              <w:t>Pages and pathways</w:t>
            </w:r>
          </w:p>
        </w:tc>
      </w:tr>
      <w:tr>
        <w:tc>
          <w:tcPr>
            <w:tcW w:type="dxa" w:w="25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British Education</w:t>
            </w:r>
          </w:p>
        </w:tc>
        <w:tc>
          <w:tcPr>
            <w:tcW w:type="dxa" w:w="68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Early Years &amp; Primary; SATs; 11+; Secondary Education; GCSE; Post-16; University Applications; Career &amp; Beyond.</w:t>
            </w:r>
          </w:p>
        </w:tc>
      </w:tr>
      <w:tr>
        <w:tc>
          <w:tcPr>
            <w:tcW w:type="dxa" w:w="2500"/>
            <w:tcMar>
              <w:top w:w="100" w:type="dxa"/>
              <w:start w:w="140" w:type="dxa"/>
              <w:bottom w:w="100" w:type="dxa"/>
              <w:end w:w="140" w:type="dxa"/>
            </w:tcMar>
            <w:vAlign w:val="center"/>
          </w:tcPr>
          <w:p>
            <w:pPr>
              <w:spacing w:after="0" w:line="276" w:lineRule="auto"/>
            </w:pPr>
            <w:r>
              <w:rPr>
                <w:rFonts w:ascii="Arial" w:hAnsi="Arial"/>
                <w:b w:val="0"/>
                <w:i w:val="0"/>
                <w:color w:val="24343A"/>
                <w:sz w:val="20"/>
              </w:rPr>
              <w:t>Global Integration</w:t>
            </w:r>
          </w:p>
        </w:tc>
        <w:tc>
          <w:tcPr>
            <w:tcW w:type="dxa" w:w="6860"/>
            <w:tcMar>
              <w:top w:w="100" w:type="dxa"/>
              <w:start w:w="140" w:type="dxa"/>
              <w:bottom w:w="100" w:type="dxa"/>
              <w:end w:w="140" w:type="dxa"/>
            </w:tcMar>
            <w:vAlign w:val="center"/>
          </w:tcPr>
          <w:p>
            <w:pPr>
              <w:spacing w:after="0" w:line="276" w:lineRule="auto"/>
            </w:pPr>
            <w:r>
              <w:rPr>
                <w:rFonts w:ascii="Arial" w:hAnsi="Arial"/>
                <w:b w:val="0"/>
                <w:i w:val="0"/>
                <w:color w:val="24343A"/>
                <w:sz w:val="20"/>
              </w:rPr>
              <w:t>Foreign Languages; Relocation &amp; Integration; Workplace Communication; Business &amp; ESP; International Language Qualifications; International Education &amp; Study Abroad.</w:t>
            </w:r>
          </w:p>
        </w:tc>
      </w:tr>
      <w:tr>
        <w:tc>
          <w:tcPr>
            <w:tcW w:type="dxa" w:w="25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International Education &amp; Study Abroad</w:t>
            </w:r>
          </w:p>
        </w:tc>
        <w:tc>
          <w:tcPr>
            <w:tcW w:type="dxa" w:w="68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International Baccalaureate; British Boarding Schools for International Students; future international school, university and destination partnerships.</w:t>
            </w:r>
          </w:p>
        </w:tc>
      </w:tr>
    </w:tbl>
    <w:p>
      <w:pPr>
        <w:spacing w:after="0"/>
      </w:pPr>
    </w:p>
    <w:p>
      <w:pPr>
        <w:pStyle w:val="Heading2"/>
      </w:pPr>
      <w:r>
        <w:t>British boarding school placement</w:t>
      </w:r>
    </w:p>
    <w:p>
      <w:pPr>
        <w:spacing w:after="120" w:line="300" w:lineRule="auto"/>
      </w:pPr>
      <w:r>
        <w:rPr>
          <w:rFonts w:ascii="Arial" w:hAnsi="Arial"/>
          <w:b w:val="0"/>
          <w:i w:val="0"/>
          <w:color w:val="24343A"/>
          <w:sz w:val="22"/>
        </w:rPr>
        <w:t>The complete page must sit under Global Integration → International Education &amp; Study Abroad because the target audience is international students and families considering education in the UK.</w:t>
      </w:r>
    </w:p>
    <w:p>
      <w:pPr>
        <w:spacing w:after="120" w:line="300" w:lineRule="auto"/>
      </w:pPr>
      <w:r>
        <w:rPr>
          <w:rFonts w:ascii="Arial" w:hAnsi="Arial"/>
          <w:b w:val="0"/>
          <w:i w:val="0"/>
          <w:color w:val="24343A"/>
          <w:sz w:val="22"/>
        </w:rPr>
        <w:t>British Education may include one short cross-link card because the service relates to the British education system. That card must link to the same Global Integration page and must not create a second version of the content.</w:t>
      </w:r>
    </w:p>
    <w:p>
      <w:r>
        <w:br w:type="page"/>
      </w:r>
    </w:p>
    <w:p>
      <w:pPr>
        <w:pStyle w:val="Heading1"/>
      </w:pPr>
      <w:r>
        <w:t>2. Homepage — Final Copy</w:t>
      </w:r>
    </w:p>
    <w:p>
      <w:pPr>
        <w:pStyle w:val="Heading2"/>
      </w:pPr>
      <w:r>
        <w:t>MUG.UP BRITAIN</w:t>
      </w:r>
    </w:p>
    <w:p>
      <w:pPr>
        <w:spacing w:after="120" w:line="300" w:lineRule="auto"/>
      </w:pPr>
      <w:r>
        <w:rPr>
          <w:rFonts w:ascii="Arial" w:hAnsi="Arial"/>
          <w:b w:val="0"/>
          <w:i w:val="0"/>
          <w:color w:val="24343A"/>
          <w:sz w:val="22"/>
        </w:rPr>
        <w:t>Supporting children, teenagers and families through every stage of the British education journey.</w:t>
      </w:r>
    </w:p>
    <w:p>
      <w:pPr>
        <w:spacing w:after="120" w:line="300" w:lineRule="auto"/>
      </w:pPr>
      <w:r>
        <w:rPr>
          <w:rFonts w:ascii="Arial" w:hAnsi="Arial"/>
          <w:b w:val="0"/>
          <w:i w:val="0"/>
          <w:color w:val="24343A"/>
          <w:sz w:val="22"/>
        </w:rPr>
        <w:t>Helping learners build strong academic foundations, achieve success in British qualifications, and confidently progress from primary education to university and beyond.</w:t>
      </w:r>
    </w:p>
    <w:p>
      <w:pPr>
        <w:pStyle w:val="ListBullet"/>
        <w:spacing w:after="80" w:line="300" w:lineRule="auto"/>
        <w:ind w:left="540" w:hanging="271"/>
      </w:pPr>
      <w:r>
        <w:rPr>
          <w:rFonts w:ascii="Arial" w:hAnsi="Arial"/>
          <w:b w:val="0"/>
          <w:i w:val="0"/>
          <w:color w:val="24343A"/>
          <w:sz w:val="22"/>
        </w:rPr>
        <w:t>British Education Pathways</w:t>
      </w:r>
    </w:p>
    <w:p>
      <w:pPr>
        <w:pStyle w:val="ListBullet"/>
        <w:spacing w:after="80" w:line="300" w:lineRule="auto"/>
        <w:ind w:left="540" w:hanging="271"/>
      </w:pPr>
      <w:r>
        <w:rPr>
          <w:rFonts w:ascii="Arial" w:hAnsi="Arial"/>
          <w:b w:val="0"/>
          <w:i w:val="0"/>
          <w:color w:val="24343A"/>
          <w:sz w:val="22"/>
        </w:rPr>
        <w:t>SATs, 11+, GCSE &amp; A-Level Support</w:t>
      </w:r>
    </w:p>
    <w:p>
      <w:pPr>
        <w:pStyle w:val="ListBullet"/>
        <w:spacing w:after="80" w:line="300" w:lineRule="auto"/>
        <w:ind w:left="540" w:hanging="271"/>
      </w:pPr>
      <w:r>
        <w:rPr>
          <w:rFonts w:ascii="Arial" w:hAnsi="Arial"/>
          <w:b w:val="0"/>
          <w:i w:val="0"/>
          <w:color w:val="24343A"/>
          <w:sz w:val="22"/>
        </w:rPr>
        <w:t>Post-16 Education</w:t>
      </w:r>
    </w:p>
    <w:p>
      <w:pPr>
        <w:pStyle w:val="ListBullet"/>
        <w:spacing w:after="80" w:line="300" w:lineRule="auto"/>
        <w:ind w:left="540" w:hanging="271"/>
      </w:pPr>
      <w:r>
        <w:rPr>
          <w:rFonts w:ascii="Arial" w:hAnsi="Arial"/>
          <w:b w:val="0"/>
          <w:i w:val="0"/>
          <w:color w:val="24343A"/>
          <w:sz w:val="22"/>
        </w:rPr>
        <w:t>UK University Preparation</w:t>
      </w:r>
    </w:p>
    <w:p>
      <w:pPr>
        <w:pStyle w:val="ListBullet"/>
        <w:spacing w:after="80" w:line="300" w:lineRule="auto"/>
        <w:ind w:left="540" w:hanging="271"/>
      </w:pPr>
      <w:r>
        <w:rPr>
          <w:rFonts w:ascii="Arial" w:hAnsi="Arial"/>
          <w:b w:val="0"/>
          <w:i w:val="0"/>
          <w:color w:val="24343A"/>
          <w:sz w:val="22"/>
        </w:rPr>
        <w:t>Career &amp; Beyond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EXPLORE BRITISH EDUCATION</w:t>
            </w:r>
          </w:p>
        </w:tc>
      </w:tr>
    </w:tbl>
    <w:p>
      <w:pPr>
        <w:spacing w:after="0"/>
      </w:pPr>
    </w:p>
    <w:p>
      <w:pPr>
        <w:pStyle w:val="Heading2"/>
      </w:pPr>
      <w:r>
        <w:t>MUG.UP GLOBAL INTEGRATION</w:t>
      </w:r>
    </w:p>
    <w:p>
      <w:pPr>
        <w:spacing w:after="120" w:line="300" w:lineRule="auto"/>
      </w:pPr>
      <w:r>
        <w:rPr>
          <w:rFonts w:ascii="Arial" w:hAnsi="Arial"/>
          <w:b w:val="0"/>
          <w:i w:val="0"/>
          <w:color w:val="24343A"/>
          <w:sz w:val="22"/>
        </w:rPr>
        <w:t>Helping individuals and families build confidence, develop practical communication skills, and create new opportunities in the UK and beyond.</w:t>
      </w:r>
    </w:p>
    <w:p>
      <w:pPr>
        <w:spacing w:after="120" w:line="300" w:lineRule="auto"/>
      </w:pPr>
      <w:r>
        <w:rPr>
          <w:rFonts w:ascii="Arial" w:hAnsi="Arial"/>
          <w:b w:val="0"/>
          <w:i w:val="0"/>
          <w:color w:val="24343A"/>
          <w:sz w:val="22"/>
        </w:rPr>
        <w:t>From everyday life and professional communication to multilingual learning and international education, our personalised programmes support integration, career development, academic progression, and lifelong learning.</w:t>
      </w:r>
    </w:p>
    <w:p>
      <w:pPr>
        <w:pStyle w:val="ListBullet"/>
        <w:spacing w:after="80" w:line="300" w:lineRule="auto"/>
        <w:ind w:left="540" w:hanging="271"/>
      </w:pPr>
      <w:r>
        <w:rPr>
          <w:rFonts w:ascii="Arial" w:hAnsi="Arial"/>
          <w:b w:val="0"/>
          <w:i w:val="0"/>
          <w:color w:val="24343A"/>
          <w:sz w:val="22"/>
        </w:rPr>
        <w:t>Foreign Language Programmes</w:t>
      </w:r>
    </w:p>
    <w:p>
      <w:pPr>
        <w:pStyle w:val="ListBullet"/>
        <w:spacing w:after="80" w:line="300" w:lineRule="auto"/>
        <w:ind w:left="540" w:hanging="271"/>
      </w:pPr>
      <w:r>
        <w:rPr>
          <w:rFonts w:ascii="Arial" w:hAnsi="Arial"/>
          <w:b w:val="0"/>
          <w:i w:val="0"/>
          <w:color w:val="24343A"/>
          <w:sz w:val="22"/>
        </w:rPr>
        <w:t>Relocation &amp; Integration</w:t>
      </w:r>
    </w:p>
    <w:p>
      <w:pPr>
        <w:pStyle w:val="ListBullet"/>
        <w:spacing w:after="80" w:line="300" w:lineRule="auto"/>
        <w:ind w:left="540" w:hanging="271"/>
      </w:pPr>
      <w:r>
        <w:rPr>
          <w:rFonts w:ascii="Arial" w:hAnsi="Arial"/>
          <w:b w:val="0"/>
          <w:i w:val="0"/>
          <w:color w:val="24343A"/>
          <w:sz w:val="22"/>
        </w:rPr>
        <w:t>Workplace &amp; Professional Communication</w:t>
      </w:r>
    </w:p>
    <w:p>
      <w:pPr>
        <w:pStyle w:val="ListBullet"/>
        <w:spacing w:after="80" w:line="300" w:lineRule="auto"/>
        <w:ind w:left="540" w:hanging="271"/>
      </w:pPr>
      <w:r>
        <w:rPr>
          <w:rFonts w:ascii="Arial" w:hAnsi="Arial"/>
          <w:b w:val="0"/>
          <w:i w:val="0"/>
          <w:color w:val="24343A"/>
          <w:sz w:val="22"/>
        </w:rPr>
        <w:t>Business &amp; Industry-Specific Language</w:t>
      </w:r>
    </w:p>
    <w:p>
      <w:pPr>
        <w:pStyle w:val="ListBullet"/>
        <w:spacing w:after="80" w:line="300" w:lineRule="auto"/>
        <w:ind w:left="540" w:hanging="271"/>
      </w:pPr>
      <w:r>
        <w:rPr>
          <w:rFonts w:ascii="Arial" w:hAnsi="Arial"/>
          <w:b w:val="0"/>
          <w:i w:val="0"/>
          <w:color w:val="24343A"/>
          <w:sz w:val="22"/>
        </w:rPr>
        <w:t>International Language Qualifications</w:t>
      </w:r>
    </w:p>
    <w:p>
      <w:pPr>
        <w:pStyle w:val="ListBullet"/>
        <w:spacing w:after="80" w:line="300" w:lineRule="auto"/>
        <w:ind w:left="540" w:hanging="271"/>
      </w:pPr>
      <w:r>
        <w:rPr>
          <w:rFonts w:ascii="Arial" w:hAnsi="Arial"/>
          <w:b w:val="0"/>
          <w:i w:val="0"/>
          <w:color w:val="24343A"/>
          <w:sz w:val="22"/>
        </w:rPr>
        <w:t>International Education &amp; Study Abroad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EXPLORE GLOBAL INTEGRATION</w:t>
            </w:r>
          </w:p>
        </w:tc>
      </w:tr>
    </w:tbl>
    <w:p>
      <w:pPr>
        <w:spacing w:after="0"/>
      </w:pPr>
    </w:p>
    <w:p>
      <w:r>
        <w:br w:type="page"/>
      </w:r>
    </w:p>
    <w:p>
      <w:pPr>
        <w:pStyle w:val="Heading1"/>
      </w:pPr>
      <w:r>
        <w:t>3. Global Integration — New Sections</w:t>
      </w:r>
    </w:p>
    <w:p>
      <w:pPr>
        <w:pStyle w:val="Heading2"/>
      </w:pPr>
      <w:r>
        <w:t>INTERNATIONAL LANGUAGE QUALIFICATIONS</w:t>
      </w:r>
    </w:p>
    <w:p>
      <w:pPr>
        <w:spacing w:before="40" w:after="80"/>
      </w:pPr>
      <w:r>
        <w:rPr>
          <w:rFonts w:ascii="Arial" w:hAnsi="Arial"/>
          <w:b/>
          <w:i w:val="0"/>
          <w:color w:val="0097B2"/>
          <w:sz w:val="18"/>
        </w:rPr>
        <w:t>QUALIFICATIONS FOR GLOBAL OPPORTUNITIES</w:t>
      </w:r>
    </w:p>
    <w:p>
      <w:pPr>
        <w:spacing w:after="120" w:line="300" w:lineRule="auto"/>
      </w:pPr>
      <w:r>
        <w:rPr>
          <w:rFonts w:ascii="Arial" w:hAnsi="Arial"/>
          <w:b w:val="0"/>
          <w:i w:val="0"/>
          <w:color w:val="24343A"/>
          <w:sz w:val="22"/>
        </w:rPr>
        <w:t>Preparation for internationally recognised language qualifications for education, work, migration requirements and international mobility.</w:t>
      </w:r>
    </w:p>
    <w:p>
      <w:pPr>
        <w:spacing w:after="120" w:line="300" w:lineRule="auto"/>
      </w:pPr>
      <w:r>
        <w:rPr>
          <w:rFonts w:ascii="Arial" w:hAnsi="Arial"/>
          <w:b w:val="0"/>
          <w:i w:val="0"/>
          <w:color w:val="24343A"/>
          <w:sz w:val="22"/>
        </w:rPr>
        <w:t>IELTS • Cambridge English • LanguageCert • DELE • SIELE • DELF • DALF • TCF • Goethe-Zertifikat • telc Deutsch • TestDaF • CILS • CELI • PLIDA • CAPLE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EXPLORE INTERNATIONAL LANGUAGE QUALIFICATIONS</w:t>
            </w:r>
          </w:p>
        </w:tc>
      </w:tr>
    </w:tbl>
    <w:p>
      <w:pPr>
        <w:spacing w:after="0"/>
      </w:pPr>
    </w:p>
    <w:p>
      <w:pPr>
        <w:pStyle w:val="Heading2"/>
      </w:pPr>
      <w:r>
        <w:t>INTERNATIONAL EDUCATION &amp; STUDY ABROAD</w:t>
      </w:r>
    </w:p>
    <w:p>
      <w:pPr>
        <w:spacing w:after="120" w:line="300" w:lineRule="auto"/>
      </w:pPr>
      <w:r>
        <w:rPr>
          <w:rFonts w:ascii="Arial" w:hAnsi="Arial"/>
          <w:b w:val="0"/>
          <w:i w:val="0"/>
          <w:color w:val="24343A"/>
          <w:sz w:val="22"/>
        </w:rPr>
        <w:t>Supporting international learners and families as they explore globally recognised education pathways, international schools and study opportunities in the UK and beyond.</w:t>
      </w:r>
    </w:p>
    <w:p>
      <w:pPr>
        <w:pStyle w:val="Heading3"/>
      </w:pPr>
      <w:r>
        <w:t>International Baccalaureate (IB)</w:t>
      </w:r>
    </w:p>
    <w:p>
      <w:pPr>
        <w:spacing w:before="40" w:after="80"/>
      </w:pPr>
      <w:r>
        <w:rPr>
          <w:rFonts w:ascii="Arial" w:hAnsi="Arial"/>
          <w:b/>
          <w:i w:val="0"/>
          <w:color w:val="0097B2"/>
          <w:sz w:val="18"/>
        </w:rPr>
        <w:t>AGES 3–19</w:t>
      </w:r>
    </w:p>
    <w:p>
      <w:pPr>
        <w:spacing w:after="120" w:line="300" w:lineRule="auto"/>
      </w:pPr>
      <w:r>
        <w:rPr>
          <w:rFonts w:ascii="Arial" w:hAnsi="Arial"/>
          <w:b w:val="0"/>
          <w:i w:val="0"/>
          <w:color w:val="24343A"/>
          <w:sz w:val="22"/>
        </w:rPr>
        <w:t>Personalised academic support for learners studying within the International Baccalaureate continuum, from the early years through to university preparation.</w:t>
      </w:r>
    </w:p>
    <w:p>
      <w:pPr>
        <w:spacing w:after="120" w:line="300" w:lineRule="auto"/>
      </w:pPr>
      <w:r>
        <w:rPr>
          <w:rFonts w:ascii="Arial" w:hAnsi="Arial"/>
          <w:b w:val="0"/>
          <w:i w:val="0"/>
          <w:color w:val="24343A"/>
          <w:sz w:val="22"/>
        </w:rPr>
        <w:t>PYP • MYP • Diploma Programme • Career-related Programme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EXPLORE INTERNATIONAL BACCALAUREATE</w:t>
            </w:r>
          </w:p>
        </w:tc>
      </w:tr>
    </w:tbl>
    <w:p>
      <w:pPr>
        <w:spacing w:after="0"/>
      </w:pPr>
    </w:p>
    <w:p>
      <w:pPr>
        <w:pStyle w:val="Heading3"/>
      </w:pPr>
      <w:r>
        <w:t>British Boarding Schools for International Students</w:t>
      </w:r>
    </w:p>
    <w:p>
      <w:pPr>
        <w:spacing w:before="40" w:after="80"/>
      </w:pPr>
      <w:r>
        <w:rPr>
          <w:rFonts w:ascii="Arial" w:hAnsi="Arial"/>
          <w:b/>
          <w:i w:val="0"/>
          <w:color w:val="0097B2"/>
          <w:sz w:val="18"/>
        </w:rPr>
        <w:t>A BRITISH EDUCATION WITH GLOBAL OPPORTUNITIES</w:t>
      </w:r>
    </w:p>
    <w:p>
      <w:pPr>
        <w:spacing w:after="120" w:line="300" w:lineRule="auto"/>
      </w:pPr>
      <w:r>
        <w:rPr>
          <w:rFonts w:ascii="Arial" w:hAnsi="Arial"/>
          <w:b w:val="0"/>
          <w:i w:val="0"/>
          <w:color w:val="24343A"/>
          <w:sz w:val="22"/>
        </w:rPr>
        <w:t>Guidance and academic preparation for international families considering boarding education in the UK, from exploring school options and understanding entry requirements to preparing for admissions, interviews and the transition into British education.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EXPLORE BRITISH BOARDING SCHOOLS</w:t>
            </w:r>
          </w:p>
        </w:tc>
      </w:tr>
    </w:tbl>
    <w:p>
      <w:pPr>
        <w:spacing w:after="0"/>
      </w:pPr>
    </w:p>
    <w:p>
      <w:r>
        <w:br w:type="page"/>
      </w:r>
    </w:p>
    <w:p>
      <w:pPr>
        <w:pStyle w:val="Heading1"/>
      </w:pPr>
      <w:r>
        <w:t>4. British Education — Cross-link Card</w:t>
      </w:r>
    </w:p>
    <w:p>
      <w:pPr>
        <w:spacing w:after="120" w:line="300" w:lineRule="auto"/>
      </w:pPr>
      <w:r>
        <w:rPr>
          <w:rFonts w:ascii="Arial" w:hAnsi="Arial"/>
          <w:b w:val="0"/>
          <w:i w:val="0"/>
          <w:color w:val="68777D"/>
          <w:sz w:val="22"/>
        </w:rPr>
        <w:t>Place this card within British Education as a contextual link only. It must lead to the full page under Global Integration.</w:t>
      </w:r>
    </w:p>
    <w:p>
      <w:pPr>
        <w:pStyle w:val="Heading2"/>
      </w:pPr>
      <w:r>
        <w:t>British Boarding Schools for International Students</w:t>
      </w:r>
    </w:p>
    <w:p>
      <w:pPr>
        <w:spacing w:after="120" w:line="300" w:lineRule="auto"/>
      </w:pPr>
      <w:r>
        <w:rPr>
          <w:rFonts w:ascii="Arial" w:hAnsi="Arial"/>
          <w:b w:val="0"/>
          <w:i w:val="0"/>
          <w:color w:val="24343A"/>
          <w:sz w:val="22"/>
        </w:rPr>
        <w:t>Admissions guidance and academic preparation for international families considering boarding education in the UK.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EXPLORE BRITISH BOARDING SCHOOLS → GLOBAL INTEGRATION</w:t>
            </w:r>
          </w:p>
        </w:tc>
      </w:tr>
    </w:tbl>
    <w:p>
      <w:pPr>
        <w:spacing w:after="0"/>
      </w:pPr>
    </w:p>
    <w:p>
      <w:pPr>
        <w:pStyle w:val="Heading2"/>
      </w:pPr>
      <w:r>
        <w:t>Recommended British Education card order</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tcMar>
              <w:top w:w="100" w:type="dxa"/>
              <w:start w:w="140" w:type="dxa"/>
              <w:bottom w:w="100" w:type="dxa"/>
              <w:end w:w="140" w:type="dxa"/>
            </w:tcMar>
            <w:vAlign w:val="center"/>
            <w:shd w:fill="0097B2"/>
          </w:tcPr>
          <w:p>
            <w:pPr>
              <w:spacing w:after="0"/>
            </w:pPr>
            <w:r>
              <w:rPr>
                <w:rFonts w:ascii="Arial" w:hAnsi="Arial"/>
                <w:b/>
                <w:i w:val="0"/>
                <w:color w:val="FFFFFF"/>
                <w:sz w:val="20"/>
              </w:rPr>
              <w:t>Row</w:t>
            </w:r>
          </w:p>
        </w:tc>
        <w:tc>
          <w:tcPr>
            <w:tcW w:type="dxa" w:w="8460"/>
            <w:tcMar>
              <w:top w:w="100" w:type="dxa"/>
              <w:start w:w="140" w:type="dxa"/>
              <w:bottom w:w="100" w:type="dxa"/>
              <w:end w:w="140" w:type="dxa"/>
            </w:tcMar>
            <w:vAlign w:val="center"/>
            <w:shd w:fill="0097B2"/>
          </w:tcPr>
          <w:p>
            <w:pPr>
              <w:spacing w:after="0"/>
            </w:pPr>
            <w:r>
              <w:rPr>
                <w:rFonts w:ascii="Arial" w:hAnsi="Arial"/>
                <w:b/>
                <w:i w:val="0"/>
                <w:color w:val="FFFFFF"/>
                <w:sz w:val="20"/>
              </w:rPr>
              <w:t>Cards</w:t>
            </w:r>
          </w:p>
        </w:tc>
      </w:tr>
      <w:tr>
        <w:tc>
          <w:tcPr>
            <w:tcW w:type="dxa" w:w="9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1</w:t>
            </w:r>
          </w:p>
        </w:tc>
        <w:tc>
          <w:tcPr>
            <w:tcW w:type="dxa" w:w="84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Early Years &amp; Primary Education | SATs Preparation | 11+ Preparation</w:t>
            </w:r>
          </w:p>
        </w:tc>
      </w:tr>
      <w:tr>
        <w:tc>
          <w:tcPr>
            <w:tcW w:type="dxa" w:w="900"/>
            <w:tcMar>
              <w:top w:w="100" w:type="dxa"/>
              <w:start w:w="140" w:type="dxa"/>
              <w:bottom w:w="100" w:type="dxa"/>
              <w:end w:w="140" w:type="dxa"/>
            </w:tcMar>
            <w:vAlign w:val="center"/>
          </w:tcPr>
          <w:p>
            <w:pPr>
              <w:spacing w:after="0" w:line="276" w:lineRule="auto"/>
            </w:pPr>
            <w:r>
              <w:rPr>
                <w:rFonts w:ascii="Arial" w:hAnsi="Arial"/>
                <w:b w:val="0"/>
                <w:i w:val="0"/>
                <w:color w:val="24343A"/>
                <w:sz w:val="20"/>
              </w:rPr>
              <w:t>2</w:t>
            </w:r>
          </w:p>
        </w:tc>
        <w:tc>
          <w:tcPr>
            <w:tcW w:type="dxa" w:w="8460"/>
            <w:tcMar>
              <w:top w:w="100" w:type="dxa"/>
              <w:start w:w="140" w:type="dxa"/>
              <w:bottom w:w="100" w:type="dxa"/>
              <w:end w:w="140" w:type="dxa"/>
            </w:tcMar>
            <w:vAlign w:val="center"/>
          </w:tcPr>
          <w:p>
            <w:pPr>
              <w:spacing w:after="0" w:line="276" w:lineRule="auto"/>
            </w:pPr>
            <w:r>
              <w:rPr>
                <w:rFonts w:ascii="Arial" w:hAnsi="Arial"/>
                <w:b w:val="0"/>
                <w:i w:val="0"/>
                <w:color w:val="24343A"/>
                <w:sz w:val="20"/>
              </w:rPr>
              <w:t>Secondary Education | GCSE Pathways | Post-16 Pathways</w:t>
            </w:r>
          </w:p>
        </w:tc>
      </w:tr>
      <w:tr>
        <w:tc>
          <w:tcPr>
            <w:tcW w:type="dxa" w:w="9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3</w:t>
            </w:r>
          </w:p>
        </w:tc>
        <w:tc>
          <w:tcPr>
            <w:tcW w:type="dxa" w:w="84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British Boarding Schools for International Students | University Applications | Career &amp; Beyond</w:t>
            </w:r>
          </w:p>
        </w:tc>
      </w:tr>
    </w:tbl>
    <w:p>
      <w:pPr>
        <w:spacing w:after="0"/>
      </w:pPr>
    </w:p>
    <w:p>
      <w:pPr>
        <w:pStyle w:val="Heading2"/>
      </w:pPr>
      <w:r>
        <w:t>Naming rule</w:t>
      </w:r>
    </w:p>
    <w:p>
      <w:pPr>
        <w:spacing w:after="120" w:line="300" w:lineRule="auto"/>
      </w:pPr>
      <w:r>
        <w:rPr>
          <w:rFonts w:ascii="Arial" w:hAnsi="Arial"/>
          <w:b w:val="0"/>
          <w:i w:val="0"/>
          <w:color w:val="24343A"/>
          <w:sz w:val="22"/>
        </w:rPr>
        <w:t>Use British Boarding Schools for International Students consistently across the website. Do not alternate between Boarding School Pathways, Boarding Schools and British Boarding Schools as separate service names.</w:t>
      </w:r>
    </w:p>
    <w:p>
      <w:pPr>
        <w:pStyle w:val="Heading1"/>
      </w:pPr>
      <w:r>
        <w:t>5. Full Service Page — Final Copy</w:t>
      </w:r>
    </w:p>
    <w:p>
      <w:pPr>
        <w:pStyle w:val="Heading2"/>
      </w:pPr>
      <w:r>
        <w:t>BRITISH BOARDING SCHOOLS FOR INTERNATIONAL STUDENTS</w:t>
      </w:r>
    </w:p>
    <w:p>
      <w:pPr>
        <w:spacing w:before="40" w:after="80"/>
      </w:pPr>
      <w:r>
        <w:rPr>
          <w:rFonts w:ascii="Arial" w:hAnsi="Arial"/>
          <w:b/>
          <w:i w:val="0"/>
          <w:color w:val="0097B2"/>
          <w:sz w:val="18"/>
        </w:rPr>
        <w:t>FINDING THE RIGHT SCHOOL. BUILDING THE RIGHT FUTURE.</w:t>
      </w:r>
    </w:p>
    <w:p>
      <w:pPr>
        <w:spacing w:after="120" w:line="300" w:lineRule="auto"/>
      </w:pPr>
      <w:r>
        <w:rPr>
          <w:rFonts w:ascii="Arial" w:hAnsi="Arial"/>
          <w:b w:val="0"/>
          <w:i w:val="0"/>
          <w:color w:val="24343A"/>
          <w:sz w:val="22"/>
        </w:rPr>
        <w:t>Choosing a British boarding school is an important decision for international families — academically, personally and practically.</w:t>
      </w:r>
    </w:p>
    <w:p>
      <w:pPr>
        <w:spacing w:after="120" w:line="300" w:lineRule="auto"/>
      </w:pPr>
      <w:r>
        <w:rPr>
          <w:rFonts w:ascii="Arial" w:hAnsi="Arial"/>
          <w:b w:val="0"/>
          <w:i w:val="0"/>
          <w:color w:val="24343A"/>
          <w:sz w:val="22"/>
        </w:rPr>
        <w:t>Every school is different, with its own entry points, academic expectations, admissions process, strengths and school culture. International students may also need additional English-language preparation, entrance assessment support and guidance on transitioning into the British education system.</w:t>
      </w:r>
    </w:p>
    <w:p>
      <w:pPr>
        <w:spacing w:after="120" w:line="300" w:lineRule="auto"/>
      </w:pPr>
      <w:r>
        <w:rPr>
          <w:rFonts w:ascii="Arial" w:hAnsi="Arial"/>
          <w:b w:val="0"/>
          <w:i w:val="0"/>
          <w:color w:val="24343A"/>
          <w:sz w:val="22"/>
        </w:rPr>
        <w:t>At Mug.Up, we support international families in exploring suitable British boarding schools, understanding entry requirements, and preparing students academically and linguistically for each stage of the admissions process.</w:t>
      </w:r>
    </w:p>
    <w:p>
      <w:pPr>
        <w:pStyle w:val="Heading2"/>
      </w:pPr>
      <w:r>
        <w:t>At a Glance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0097B2"/>
          </w:tcPr>
          <w:p>
            <w:pPr>
              <w:spacing w:after="0"/>
            </w:pPr>
            <w:r>
              <w:rPr>
                <w:rFonts w:ascii="Arial" w:hAnsi="Arial"/>
                <w:b/>
                <w:i w:val="0"/>
                <w:color w:val="FFFFFF"/>
                <w:sz w:val="20"/>
              </w:rPr>
              <w:t>Category</w:t>
            </w:r>
          </w:p>
        </w:tc>
        <w:tc>
          <w:tcPr>
            <w:tcW w:type="dxa" w:w="6660"/>
            <w:tcMar>
              <w:top w:w="100" w:type="dxa"/>
              <w:start w:w="140" w:type="dxa"/>
              <w:bottom w:w="100" w:type="dxa"/>
              <w:end w:w="140" w:type="dxa"/>
            </w:tcMar>
            <w:vAlign w:val="center"/>
            <w:shd w:fill="0097B2"/>
          </w:tcPr>
          <w:p>
            <w:pPr>
              <w:spacing w:after="0"/>
            </w:pPr>
            <w:r>
              <w:rPr>
                <w:rFonts w:ascii="Arial" w:hAnsi="Arial"/>
                <w:b/>
                <w:i w:val="0"/>
                <w:color w:val="FFFFFF"/>
                <w:sz w:val="20"/>
              </w:rPr>
              <w:t>Details</w:t>
            </w:r>
          </w:p>
        </w:tc>
      </w:tr>
      <w:tr>
        <w:tc>
          <w:tcPr>
            <w:tcW w:type="dxa" w:w="27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Students</w:t>
            </w:r>
          </w:p>
        </w:tc>
        <w:tc>
          <w:tcPr>
            <w:tcW w:type="dxa" w:w="66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International students aged 8–18</w:t>
            </w:r>
          </w:p>
        </w:tc>
      </w:tr>
      <w:tr>
        <w:tc>
          <w:tcPr>
            <w:tcW w:type="dxa" w:w="2700"/>
            <w:tcMar>
              <w:top w:w="100" w:type="dxa"/>
              <w:start w:w="140" w:type="dxa"/>
              <w:bottom w:w="100" w:type="dxa"/>
              <w:end w:w="140" w:type="dxa"/>
            </w:tcMar>
            <w:vAlign w:val="center"/>
          </w:tcPr>
          <w:p>
            <w:pPr>
              <w:spacing w:after="0" w:line="276" w:lineRule="auto"/>
            </w:pPr>
            <w:r>
              <w:rPr>
                <w:rFonts w:ascii="Arial" w:hAnsi="Arial"/>
                <w:b w:val="0"/>
                <w:i w:val="0"/>
                <w:color w:val="24343A"/>
                <w:sz w:val="20"/>
              </w:rPr>
              <w:t>Entry Points</w:t>
            </w:r>
          </w:p>
        </w:tc>
        <w:tc>
          <w:tcPr>
            <w:tcW w:type="dxa" w:w="6660"/>
            <w:tcMar>
              <w:top w:w="100" w:type="dxa"/>
              <w:start w:w="140" w:type="dxa"/>
              <w:bottom w:w="100" w:type="dxa"/>
              <w:end w:w="140" w:type="dxa"/>
            </w:tcMar>
            <w:vAlign w:val="center"/>
          </w:tcPr>
          <w:p>
            <w:pPr>
              <w:spacing w:after="0" w:line="276" w:lineRule="auto"/>
            </w:pPr>
            <w:r>
              <w:rPr>
                <w:rFonts w:ascii="Arial" w:hAnsi="Arial"/>
                <w:b w:val="0"/>
                <w:i w:val="0"/>
                <w:color w:val="24343A"/>
                <w:sz w:val="20"/>
              </w:rPr>
              <w:t>Prep School • Senior School • Sixth Form</w:t>
            </w:r>
          </w:p>
        </w:tc>
      </w:tr>
      <w:tr>
        <w:tc>
          <w:tcPr>
            <w:tcW w:type="dxa" w:w="27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Destination</w:t>
            </w:r>
          </w:p>
        </w:tc>
        <w:tc>
          <w:tcPr>
            <w:tcW w:type="dxa" w:w="66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UK Boarding Schools</w:t>
            </w:r>
          </w:p>
        </w:tc>
      </w:tr>
      <w:tr>
        <w:tc>
          <w:tcPr>
            <w:tcW w:type="dxa" w:w="2700"/>
            <w:tcMar>
              <w:top w:w="100" w:type="dxa"/>
              <w:start w:w="140" w:type="dxa"/>
              <w:bottom w:w="100" w:type="dxa"/>
              <w:end w:w="140" w:type="dxa"/>
            </w:tcMar>
            <w:vAlign w:val="center"/>
          </w:tcPr>
          <w:p>
            <w:pPr>
              <w:spacing w:after="0" w:line="276" w:lineRule="auto"/>
            </w:pPr>
            <w:r>
              <w:rPr>
                <w:rFonts w:ascii="Arial" w:hAnsi="Arial"/>
                <w:b w:val="0"/>
                <w:i w:val="0"/>
                <w:color w:val="24343A"/>
                <w:sz w:val="20"/>
              </w:rPr>
              <w:t>Delivery</w:t>
            </w:r>
          </w:p>
        </w:tc>
        <w:tc>
          <w:tcPr>
            <w:tcW w:type="dxa" w:w="6660"/>
            <w:tcMar>
              <w:top w:w="100" w:type="dxa"/>
              <w:start w:w="140" w:type="dxa"/>
              <w:bottom w:w="100" w:type="dxa"/>
              <w:end w:w="140" w:type="dxa"/>
            </w:tcMar>
            <w:vAlign w:val="center"/>
          </w:tcPr>
          <w:p>
            <w:pPr>
              <w:spacing w:after="0" w:line="276" w:lineRule="auto"/>
            </w:pPr>
            <w:r>
              <w:rPr>
                <w:rFonts w:ascii="Arial" w:hAnsi="Arial"/>
                <w:b w:val="0"/>
                <w:i w:val="0"/>
                <w:color w:val="24343A"/>
                <w:sz w:val="20"/>
              </w:rPr>
              <w:t>Online worldwide • In person in the UK</w:t>
            </w:r>
          </w:p>
        </w:tc>
      </w:tr>
      <w:tr>
        <w:tc>
          <w:tcPr>
            <w:tcW w:type="dxa" w:w="270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Initial Assessment</w:t>
            </w:r>
          </w:p>
        </w:tc>
        <w:tc>
          <w:tcPr>
            <w:tcW w:type="dxa" w:w="6660"/>
            <w:shd w:fill="FFFCED"/>
            <w:tcMar>
              <w:top w:w="100" w:type="dxa"/>
              <w:start w:w="140" w:type="dxa"/>
              <w:bottom w:w="100" w:type="dxa"/>
              <w:end w:w="140" w:type="dxa"/>
            </w:tcMar>
            <w:vAlign w:val="center"/>
          </w:tcPr>
          <w:p>
            <w:pPr>
              <w:spacing w:after="0" w:line="276" w:lineRule="auto"/>
            </w:pPr>
            <w:r>
              <w:rPr>
                <w:rFonts w:ascii="Arial" w:hAnsi="Arial"/>
                <w:b w:val="0"/>
                <w:i w:val="0"/>
                <w:color w:val="24343A"/>
                <w:sz w:val="20"/>
              </w:rPr>
              <w:t>Paid consultation and academic assessment</w:t>
            </w:r>
          </w:p>
        </w:tc>
      </w:tr>
    </w:tbl>
    <w:p>
      <w:pPr>
        <w:spacing w:after="0"/>
      </w:pPr>
    </w:p>
    <w:p>
      <w:pPr>
        <w:pStyle w:val="Heading2"/>
      </w:pPr>
      <w:r>
        <w:t>How We Support Your Child</w:t>
      </w:r>
    </w:p>
    <w:p>
      <w:pPr>
        <w:spacing w:after="120" w:line="300" w:lineRule="auto"/>
      </w:pPr>
      <w:r>
        <w:rPr>
          <w:rFonts w:ascii="Arial" w:hAnsi="Arial"/>
          <w:b/>
          <w:i w:val="0"/>
          <w:color w:val="006D80"/>
          <w:sz w:val="22"/>
        </w:rPr>
        <w:t xml:space="preserve">School Selection: </w:t>
      </w:r>
      <w:r>
        <w:rPr>
          <w:rFonts w:ascii="Arial" w:hAnsi="Arial"/>
          <w:b w:val="0"/>
          <w:i w:val="0"/>
          <w:color w:val="24343A"/>
          <w:sz w:val="22"/>
        </w:rPr>
        <w:t>Identify and explore schools that may be suitable for your child’s age, academic profile, interests, ambitions and preferred educational pathway.</w:t>
      </w:r>
    </w:p>
    <w:p>
      <w:pPr>
        <w:spacing w:after="120" w:line="300" w:lineRule="auto"/>
      </w:pPr>
      <w:r>
        <w:rPr>
          <w:rFonts w:ascii="Arial" w:hAnsi="Arial"/>
          <w:b/>
          <w:i w:val="0"/>
          <w:color w:val="006D80"/>
          <w:sz w:val="22"/>
        </w:rPr>
        <w:t xml:space="preserve">Entry Requirements: </w:t>
      </w:r>
      <w:r>
        <w:rPr>
          <w:rFonts w:ascii="Arial" w:hAnsi="Arial"/>
          <w:b w:val="0"/>
          <w:i w:val="0"/>
          <w:color w:val="24343A"/>
          <w:sz w:val="22"/>
        </w:rPr>
        <w:t>Understand individual school requirements, admissions timelines, academic expectations and the qualifications or assessments required for entry.</w:t>
      </w:r>
    </w:p>
    <w:p>
      <w:pPr>
        <w:spacing w:after="120" w:line="300" w:lineRule="auto"/>
      </w:pPr>
      <w:r>
        <w:rPr>
          <w:rFonts w:ascii="Arial" w:hAnsi="Arial"/>
          <w:b/>
          <w:i w:val="0"/>
          <w:color w:val="006D80"/>
          <w:sz w:val="22"/>
        </w:rPr>
        <w:t xml:space="preserve">Entrance Exam Preparation: </w:t>
      </w:r>
      <w:r>
        <w:rPr>
          <w:rFonts w:ascii="Arial" w:hAnsi="Arial"/>
          <w:b w:val="0"/>
          <w:i w:val="0"/>
          <w:color w:val="24343A"/>
          <w:sz w:val="22"/>
        </w:rPr>
        <w:t>Prepare for relevant entrance assessments through targeted academic support and exam practice. Depending on the school, this may include English, Mathematics, verbal and non-verbal reasoning, school-specific assessments and interview tasks.</w:t>
      </w:r>
    </w:p>
    <w:p>
      <w:pPr>
        <w:spacing w:after="120" w:line="300" w:lineRule="auto"/>
      </w:pPr>
      <w:r>
        <w:rPr>
          <w:rFonts w:ascii="Arial" w:hAnsi="Arial"/>
          <w:b/>
          <w:i w:val="0"/>
          <w:color w:val="006D80"/>
          <w:sz w:val="22"/>
        </w:rPr>
        <w:t xml:space="preserve">English &amp; Academic Preparation: </w:t>
      </w:r>
      <w:r>
        <w:rPr>
          <w:rFonts w:ascii="Arial" w:hAnsi="Arial"/>
          <w:b w:val="0"/>
          <w:i w:val="0"/>
          <w:color w:val="24343A"/>
          <w:sz w:val="22"/>
        </w:rPr>
        <w:t>Strengthen the English-language and academic skills needed to enter and succeed in a British boarding school environment.</w:t>
      </w:r>
    </w:p>
    <w:p>
      <w:pPr>
        <w:spacing w:after="120" w:line="300" w:lineRule="auto"/>
      </w:pPr>
      <w:r>
        <w:rPr>
          <w:rFonts w:ascii="Arial" w:hAnsi="Arial"/>
          <w:b/>
          <w:i w:val="0"/>
          <w:color w:val="006D80"/>
          <w:sz w:val="22"/>
        </w:rPr>
        <w:t xml:space="preserve">Interview Preparation: </w:t>
      </w:r>
      <w:r>
        <w:rPr>
          <w:rFonts w:ascii="Arial" w:hAnsi="Arial"/>
          <w:b w:val="0"/>
          <w:i w:val="0"/>
          <w:color w:val="24343A"/>
          <w:sz w:val="22"/>
        </w:rPr>
        <w:t>Build confidence and communication skills for school interviews through structured preparation and realistic practice.</w:t>
      </w:r>
    </w:p>
    <w:p>
      <w:pPr>
        <w:spacing w:after="120" w:line="300" w:lineRule="auto"/>
      </w:pPr>
      <w:r>
        <w:rPr>
          <w:rFonts w:ascii="Arial" w:hAnsi="Arial"/>
          <w:b/>
          <w:i w:val="0"/>
          <w:color w:val="006D80"/>
          <w:sz w:val="22"/>
        </w:rPr>
        <w:t xml:space="preserve">Application Guidance: </w:t>
      </w:r>
      <w:r>
        <w:rPr>
          <w:rFonts w:ascii="Arial" w:hAnsi="Arial"/>
          <w:b w:val="0"/>
          <w:i w:val="0"/>
          <w:color w:val="24343A"/>
          <w:sz w:val="22"/>
        </w:rPr>
        <w:t>Help families understand application stages, required documents, admissions timelines and preparation priorities.</w:t>
      </w:r>
    </w:p>
    <w:p>
      <w:pPr>
        <w:spacing w:after="120" w:line="300" w:lineRule="auto"/>
      </w:pPr>
      <w:r>
        <w:rPr>
          <w:rFonts w:ascii="Arial" w:hAnsi="Arial"/>
          <w:b/>
          <w:i w:val="0"/>
          <w:color w:val="006D80"/>
          <w:sz w:val="22"/>
        </w:rPr>
        <w:t xml:space="preserve">Transition Preparation: </w:t>
      </w:r>
      <w:r>
        <w:rPr>
          <w:rFonts w:ascii="Arial" w:hAnsi="Arial"/>
          <w:b w:val="0"/>
          <w:i w:val="0"/>
          <w:color w:val="24343A"/>
          <w:sz w:val="22"/>
        </w:rPr>
        <w:t>Support students in understanding academic expectations, communication, independence and day-to-day life within a British boarding school environment.</w:t>
      </w:r>
    </w:p>
    <w:p>
      <w:r>
        <w:br w:type="page"/>
      </w:r>
    </w:p>
    <w:p>
      <w:pPr>
        <w:pStyle w:val="Heading2"/>
      </w:pPr>
      <w:r>
        <w:t>What Your Child Will Achieve</w:t>
      </w:r>
    </w:p>
    <w:p>
      <w:pPr>
        <w:pStyle w:val="ListBullet"/>
        <w:spacing w:after="80" w:line="300" w:lineRule="auto"/>
        <w:ind w:left="540" w:hanging="271"/>
      </w:pPr>
      <w:r>
        <w:rPr>
          <w:rFonts w:ascii="Arial" w:hAnsi="Arial"/>
          <w:b w:val="0"/>
          <w:i w:val="0"/>
          <w:color w:val="24343A"/>
          <w:sz w:val="22"/>
        </w:rPr>
        <w:t>A clearer understanding of potentially suitable British boarding school options.</w:t>
      </w:r>
    </w:p>
    <w:p>
      <w:pPr>
        <w:pStyle w:val="ListBullet"/>
        <w:spacing w:after="80" w:line="300" w:lineRule="auto"/>
        <w:ind w:left="540" w:hanging="271"/>
      </w:pPr>
      <w:r>
        <w:rPr>
          <w:rFonts w:ascii="Arial" w:hAnsi="Arial"/>
          <w:b w:val="0"/>
          <w:i w:val="0"/>
          <w:color w:val="24343A"/>
          <w:sz w:val="22"/>
        </w:rPr>
        <w:t>Stronger preparation for entrance assessments and interviews.</w:t>
      </w:r>
    </w:p>
    <w:p>
      <w:pPr>
        <w:pStyle w:val="ListBullet"/>
        <w:spacing w:after="80" w:line="300" w:lineRule="auto"/>
        <w:ind w:left="540" w:hanging="271"/>
      </w:pPr>
      <w:r>
        <w:rPr>
          <w:rFonts w:ascii="Arial" w:hAnsi="Arial"/>
          <w:b w:val="0"/>
          <w:i w:val="0"/>
          <w:color w:val="24343A"/>
          <w:sz w:val="22"/>
        </w:rPr>
        <w:t>Greater confidence in English-language and academic requirements.</w:t>
      </w:r>
    </w:p>
    <w:p>
      <w:pPr>
        <w:pStyle w:val="ListBullet"/>
        <w:spacing w:after="80" w:line="300" w:lineRule="auto"/>
        <w:ind w:left="540" w:hanging="271"/>
      </w:pPr>
      <w:r>
        <w:rPr>
          <w:rFonts w:ascii="Arial" w:hAnsi="Arial"/>
          <w:b w:val="0"/>
          <w:i w:val="0"/>
          <w:color w:val="24343A"/>
          <w:sz w:val="22"/>
        </w:rPr>
        <w:t>A structured pathway towards the chosen school and entry point.</w:t>
      </w:r>
    </w:p>
    <w:p>
      <w:pPr>
        <w:pStyle w:val="ListBullet"/>
        <w:spacing w:after="80" w:line="300" w:lineRule="auto"/>
        <w:ind w:left="540" w:hanging="271"/>
      </w:pPr>
      <w:r>
        <w:rPr>
          <w:rFonts w:ascii="Arial" w:hAnsi="Arial"/>
          <w:b w:val="0"/>
          <w:i w:val="0"/>
          <w:color w:val="24343A"/>
          <w:sz w:val="22"/>
        </w:rPr>
        <w:t>Better preparation for the transition into British boarding education.</w:t>
      </w:r>
    </w:p>
    <w:p>
      <w:pPr>
        <w:pStyle w:val="Heading2"/>
      </w:pPr>
      <w:r>
        <w:t>Beyond School Admission</w:t>
      </w:r>
    </w:p>
    <w:p>
      <w:pPr>
        <w:spacing w:before="40" w:after="80"/>
      </w:pPr>
      <w:r>
        <w:rPr>
          <w:rFonts w:ascii="Arial" w:hAnsi="Arial"/>
          <w:b/>
          <w:i w:val="0"/>
          <w:color w:val="0097B2"/>
          <w:sz w:val="18"/>
        </w:rPr>
        <w:t>A PATHWAY BUILT AROUND THE FUTURE</w:t>
      </w:r>
    </w:p>
    <w:p>
      <w:pPr>
        <w:spacing w:after="120" w:line="300" w:lineRule="auto"/>
      </w:pPr>
      <w:r>
        <w:rPr>
          <w:rFonts w:ascii="Arial" w:hAnsi="Arial"/>
          <w:b w:val="0"/>
          <w:i w:val="0"/>
          <w:color w:val="24343A"/>
          <w:sz w:val="22"/>
        </w:rPr>
        <w:t>Choosing the right boarding school is not only about gaining admission. It is about finding an educational environment that supports your child’s longer-term goals.</w:t>
      </w:r>
    </w:p>
    <w:p>
      <w:pPr>
        <w:spacing w:after="120" w:line="300" w:lineRule="auto"/>
      </w:pPr>
      <w:r>
        <w:rPr>
          <w:rFonts w:ascii="Arial" w:hAnsi="Arial"/>
          <w:b/>
          <w:i w:val="0"/>
          <w:color w:val="006D80"/>
          <w:sz w:val="22"/>
        </w:rPr>
        <w:t xml:space="preserve">GCSE &amp; A-Level Pathways: </w:t>
      </w:r>
      <w:r>
        <w:rPr>
          <w:rFonts w:ascii="Arial" w:hAnsi="Arial"/>
          <w:b w:val="0"/>
          <w:i w:val="0"/>
          <w:color w:val="24343A"/>
          <w:sz w:val="22"/>
        </w:rPr>
        <w:t>Consider subject choices and academic pathways that support future ambitions.</w:t>
      </w:r>
    </w:p>
    <w:p>
      <w:pPr>
        <w:spacing w:after="120" w:line="300" w:lineRule="auto"/>
      </w:pPr>
      <w:r>
        <w:rPr>
          <w:rFonts w:ascii="Arial" w:hAnsi="Arial"/>
          <w:b/>
          <w:i w:val="0"/>
          <w:color w:val="006D80"/>
          <w:sz w:val="22"/>
        </w:rPr>
        <w:t xml:space="preserve">University Preparation: </w:t>
      </w:r>
      <w:r>
        <w:rPr>
          <w:rFonts w:ascii="Arial" w:hAnsi="Arial"/>
          <w:b w:val="0"/>
          <w:i w:val="0"/>
          <w:color w:val="24343A"/>
          <w:sz w:val="22"/>
        </w:rPr>
        <w:t>Build a strong academic foundation for future university applications in the UK or internationally.</w:t>
      </w:r>
    </w:p>
    <w:p>
      <w:pPr>
        <w:spacing w:after="120" w:line="300" w:lineRule="auto"/>
      </w:pPr>
      <w:r>
        <w:rPr>
          <w:rFonts w:ascii="Arial" w:hAnsi="Arial"/>
          <w:b/>
          <w:i w:val="0"/>
          <w:color w:val="006D80"/>
          <w:sz w:val="22"/>
        </w:rPr>
        <w:t xml:space="preserve">Academic &amp; Personal Development: </w:t>
      </w:r>
      <w:r>
        <w:rPr>
          <w:rFonts w:ascii="Arial" w:hAnsi="Arial"/>
          <w:b w:val="0"/>
          <w:i w:val="0"/>
          <w:color w:val="24343A"/>
          <w:sz w:val="22"/>
        </w:rPr>
        <w:t>Develop independence, confidence, communication and the skills needed to thrive in a new educational environment.</w:t>
      </w:r>
    </w:p>
    <w:p>
      <w:pPr>
        <w:spacing w:after="120" w:line="300" w:lineRule="auto"/>
      </w:pPr>
      <w:r>
        <w:rPr>
          <w:rFonts w:ascii="Arial" w:hAnsi="Arial"/>
          <w:b/>
          <w:i w:val="0"/>
          <w:color w:val="006D80"/>
          <w:sz w:val="22"/>
        </w:rPr>
        <w:t xml:space="preserve">International Opportunities: </w:t>
      </w:r>
      <w:r>
        <w:rPr>
          <w:rFonts w:ascii="Arial" w:hAnsi="Arial"/>
          <w:b w:val="0"/>
          <w:i w:val="0"/>
          <w:color w:val="24343A"/>
          <w:sz w:val="22"/>
        </w:rPr>
        <w:t>Create a strong foundation for further education and future opportunities in the UK and beyond.</w:t>
      </w:r>
    </w:p>
    <w:p>
      <w:pPr>
        <w:pStyle w:val="Heading2"/>
      </w:pPr>
      <w:r>
        <w:t>Start with the Right Guidance</w:t>
      </w:r>
    </w:p>
    <w:p>
      <w:pPr>
        <w:spacing w:after="120" w:line="300" w:lineRule="auto"/>
      </w:pPr>
      <w:r>
        <w:rPr>
          <w:rFonts w:ascii="Arial" w:hAnsi="Arial"/>
          <w:b w:val="0"/>
          <w:i w:val="0"/>
          <w:color w:val="24343A"/>
          <w:sz w:val="22"/>
        </w:rPr>
        <w:t>Every child and every boarding school journey is different.</w:t>
      </w:r>
    </w:p>
    <w:p>
      <w:pPr>
        <w:spacing w:after="120" w:line="300" w:lineRule="auto"/>
      </w:pPr>
      <w:r>
        <w:rPr>
          <w:rFonts w:ascii="Arial" w:hAnsi="Arial"/>
          <w:b w:val="0"/>
          <w:i w:val="0"/>
          <w:color w:val="24343A"/>
          <w:sz w:val="22"/>
        </w:rPr>
        <w:t>Our paid initial consultation and assessment helps us understand your child’s academic profile, English level, interests, future goals and preferred entry point so we can recommend the most appropriate next steps.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DE59"/>
          </w:tcPr>
          <w:p>
            <w:pPr>
              <w:spacing w:after="0"/>
              <w:jc w:val="center"/>
            </w:pPr>
            <w:r>
              <w:rPr>
                <w:rFonts w:ascii="Arial" w:hAnsi="Arial"/>
                <w:b/>
                <w:i w:val="0"/>
                <w:color w:val="24343A"/>
                <w:sz w:val="22"/>
              </w:rPr>
              <w:t>BOOK AN INITIAL CONSULTATION AND ASSESSMENT</w:t>
            </w:r>
          </w:p>
        </w:tc>
      </w:tr>
    </w:tbl>
    <w:p>
      <w:pPr>
        <w:spacing w:after="0"/>
      </w:pPr>
    </w:p>
    <w:p>
      <w:pPr>
        <w:pStyle w:val="Heading2"/>
      </w:pPr>
      <w:r>
        <w:t>Service Scope Note</w:t>
      </w:r>
    </w:p>
    <w:p>
      <w:pPr>
        <w:spacing w:after="120" w:line="300" w:lineRule="auto"/>
      </w:pPr>
      <w:r>
        <w:rPr>
          <w:rFonts w:ascii="Arial" w:hAnsi="Arial"/>
          <w:b w:val="0"/>
          <w:i/>
          <w:color w:val="68777D"/>
          <w:sz w:val="22"/>
        </w:rPr>
        <w:t>Mug.Up provides educational guidance, academic preparation and admissions support. Where regulated immigration or legal advice is required, families should consult an appropriately authorised adviser.</w:t>
      </w:r>
    </w:p>
    <w:sectPr w:rsidR="00FC693F" w:rsidRPr="0006063C" w:rsidSect="00034616">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43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06D8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97B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6D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Mug.Up Website Updates — Final Structure and Copy</dc:title>
  <dc:subject>British Education and Global Integration website content</dc:subject>
  <dc:creator>Mug.Up Language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