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6.png" ContentType="image/png"/>
  <Override PartName="/word/media/rId40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Xe524378c15d034d889de51f7b7d19dd217ae820"/>
    <w:p>
      <w:pPr>
        <w:pStyle w:val="Heading1"/>
      </w:pPr>
      <w:r>
        <w:t xml:space="preserve">Minimum Wages and Employment: Replication and Extension of Card &amp; Krueger (1994)</w:t>
      </w:r>
    </w:p>
    <w:p>
      <w:pPr>
        <w:pStyle w:val="FirstParagraph"/>
      </w:pPr>
      <w:r>
        <w:rPr>
          <w:bCs/>
          <w:b/>
        </w:rPr>
        <w:t xml:space="preserve">Individual project — AI-assisted empirical paper replication and extension</w:t>
      </w:r>
      <w:r>
        <w:t xml:space="preserve"> </w:t>
      </w:r>
      <w:r>
        <w:rPr>
          <w:iCs/>
          <w:i/>
        </w:rPr>
        <w:t xml:space="preserve">Card, D., &amp; Krueger, A. B. (1994).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Minimum Wages and Employment: A Case Study of the Fast-Food Industry in New Jersey and Pennsylvania.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American Economic Review, 84(4), 772–793.</w:t>
      </w:r>
    </w:p>
    <w:p>
      <w:pPr>
        <w:pStyle w:val="BodyText"/>
      </w:pPr>
      <w:r>
        <w:rPr>
          <w:bCs/>
          <w:b/>
        </w:rPr>
        <w:t xml:space="preserve">Replicated deliverables:</w:t>
      </w:r>
      <w:r>
        <w:t xml:space="preserve"> </w:t>
      </w:r>
      <w:r>
        <w:t xml:space="preserve">Table 2 (Means of Key Variables), Table 3 (Average Employment Before/After), Table 4 (Reduced-Form Models for Change in Employment), Figure 1 (Distribution of Starting Wage Rates), plus a Table 5 subset as validation.</w:t>
      </w:r>
      <w:r>
        <w:t xml:space="preserve"> </w:t>
      </w:r>
      <w:r>
        <w:rPr>
          <w:bCs/>
          <w:b/>
        </w:rPr>
        <w:t xml:space="preserve">Independent extension:</w:t>
      </w:r>
      <w:r>
        <w:t xml:space="preserve"> </w:t>
      </w:r>
      <w:r>
        <w:t xml:space="preserve">Heterogeneity of the minimum-wage employment effect (ownership, chain) and credibility of inference (within-PA placebo, randomization inference).</w:t>
      </w:r>
      <w:r>
        <w:t xml:space="preserve"> </w:t>
      </w:r>
      <w:r>
        <w:rPr>
          <w:bCs/>
          <w:b/>
        </w:rPr>
        <w:t xml:space="preserve">Full reproducibility:</w:t>
      </w:r>
      <w:r>
        <w:t xml:space="preserve"> </w:t>
      </w:r>
      <w:r>
        <w:rPr>
          <w:rStyle w:val="VerbatimChar"/>
        </w:rPr>
        <w:t xml:space="preserve">code/run_all.py</w:t>
      </w:r>
      <w:r>
        <w:t xml:space="preserve"> </w:t>
      </w:r>
      <w:r>
        <w:t xml:space="preserve">regenerates all tables and figures from</w:t>
      </w:r>
      <w:r>
        <w:t xml:space="preserve"> </w:t>
      </w:r>
      <w:r>
        <w:rPr>
          <w:rStyle w:val="VerbatimChar"/>
        </w:rPr>
        <w:t xml:space="preserve">data/raw/public.csv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0" w:name="research-question-and-motivation"/>
    <w:p>
      <w:pPr>
        <w:pStyle w:val="Heading2"/>
      </w:pPr>
      <w:r>
        <w:t xml:space="preserve">1. Research question and motivation</w:t>
      </w:r>
    </w:p>
    <w:p>
      <w:pPr>
        <w:pStyle w:val="FirstParagraph"/>
      </w:pPr>
      <w:r>
        <w:t xml:space="preserve">On April 1, 1992, New Jersey’s minimum wage rose from $4.25 to $5.05 per hour (an 18.8% increase), while the federal minimum wage — and hence the wage floor in neighbouring eastern Pennsylvania — stayed at $4.25. Standard competitive theory (Stigler, 1946) predicts that an exogenous increase in the minimum wage reduces employment at covered firms. Card and Krueger (1994) ask a simple, policy-relevant question:</w:t>
      </w:r>
      <w:r>
        <w:t xml:space="preserve"> </w:t>
      </w:r>
      <w:r>
        <w:rPr>
          <w:bCs/>
          <w:b/>
        </w:rPr>
        <w:t xml:space="preserve">did the New Jersey minimum-wage increase reduce employment at fast-food restaurants?</w:t>
      </w:r>
    </w:p>
    <w:p>
      <w:pPr>
        <w:pStyle w:val="BodyText"/>
      </w:pPr>
      <w:r>
        <w:t xml:space="preserve">The paper answers this with a</w:t>
      </w:r>
      <w:r>
        <w:t xml:space="preserve"> </w:t>
      </w:r>
      <w:r>
        <w:rPr>
          <w:bCs/>
          <w:b/>
        </w:rPr>
        <w:t xml:space="preserve">difference-in-differences (DID)</w:t>
      </w:r>
      <w:r>
        <w:t xml:space="preserve"> </w:t>
      </w:r>
      <w:r>
        <w:t xml:space="preserve">design: employment changes at 331 New Jersey restaurants (treated) are compared with employment changes at 79 eastern Pennsylvania restaurants (control), between a pre-period (February–March 1992) and a post-period (November–December 1992). The design exploits the fact that (i) the two regions are economically integrated across the Delaware River corridor, (ii) the fast-food industry is a major employer of minimum-wage workers with relatively homogeneous jobs, and (iii) the survey tracked nearly 100% of stores, including closures. The paper’s headline finding — that employment did not fall, and even rose relative to Pennsylvania — became one of the most influential and contested results in the minimum-wage literature, making the paper an ideal vehicle for learning credible causal-inference methods on real survey data.</w:t>
      </w:r>
    </w:p>
    <w:p>
      <w:pPr>
        <w:pStyle w:val="BodyText"/>
      </w:pPr>
      <w:r>
        <w:t xml:space="preserve">This replication project focuses on the establishment-level employment analysis (Tables 2–4, Figure 1), which the course designates as the core deliverable, and then extends it along two dimensions that the original paper left open:</w:t>
      </w:r>
      <w:r>
        <w:t xml:space="preserve"> </w:t>
      </w:r>
      <w:r>
        <w:rPr>
          <w:bCs/>
          <w:b/>
        </w:rPr>
        <w:t xml:space="preserve">heterogeneity</w:t>
      </w:r>
      <w:r>
        <w:t xml:space="preserve"> </w:t>
      </w:r>
      <w:r>
        <w:t xml:space="preserve">(which stores absorbed the wage shock) and</w:t>
      </w:r>
      <w:r>
        <w:t xml:space="preserve"> </w:t>
      </w:r>
      <w:r>
        <w:rPr>
          <w:bCs/>
          <w:b/>
        </w:rPr>
        <w:t xml:space="preserve">inference credibility</w:t>
      </w:r>
      <w:r>
        <w:t xml:space="preserve"> </w:t>
      </w:r>
      <w:r>
        <w:t xml:space="preserve">(whether the headline estimate survives placebo and randomization checks).</w:t>
      </w:r>
    </w:p>
    <w:bookmarkEnd w:id="20"/>
    <w:bookmarkStart w:id="24" w:name="data-sources-and-sample-construction"/>
    <w:p>
      <w:pPr>
        <w:pStyle w:val="Heading2"/>
      </w:pPr>
      <w:r>
        <w:t xml:space="preserve">2. Data sources and sample construction</w:t>
      </w:r>
    </w:p>
    <w:bookmarkStart w:id="21" w:name="data"/>
    <w:p>
      <w:pPr>
        <w:pStyle w:val="Heading3"/>
      </w:pPr>
      <w:r>
        <w:t xml:space="preserve">2.1 Data</w:t>
      </w:r>
    </w:p>
    <w:p>
      <w:pPr>
        <w:pStyle w:val="FirstParagraph"/>
      </w:pPr>
      <w:r>
        <w:t xml:space="preserve">The analysis uses the</w:t>
      </w:r>
      <w:r>
        <w:t xml:space="preserve"> </w:t>
      </w:r>
      <w:r>
        <w:rPr>
          <w:bCs/>
          <w:b/>
        </w:rPr>
        <w:t xml:space="preserve">public replication data</w:t>
      </w:r>
      <w:r>
        <w:t xml:space="preserve"> </w:t>
      </w:r>
      <w:r>
        <w:t xml:space="preserve">distributed by Princeton University (course package 01:</w:t>
      </w:r>
      <w:r>
        <w:t xml:space="preserve"> </w:t>
      </w:r>
      <w:r>
        <w:rPr>
          <w:rStyle w:val="VerbatimChar"/>
        </w:rPr>
        <w:t xml:space="preserve">public.csv</w:t>
      </w:r>
      <w:r>
        <w:t xml:space="preserve">), the standard publicly available survey file for this paper. It contains 410 fast-food restaurants — 331 in New Jersey and 79 in eastern Pennsylvania — from the Burger King, KFC, Roy Rogers and Wendy’s chains, with store characteristics, employment, wages and prices measured in two survey waves: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Wave 1:</w:t>
      </w:r>
      <w:r>
        <w:t xml:space="preserve"> </w:t>
      </w:r>
      <w:r>
        <w:t xml:space="preserve">February 15 – March 4, 1992 (about one month before the NJ increase);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Wave 2:</w:t>
      </w:r>
      <w:r>
        <w:t xml:space="preserve"> </w:t>
      </w:r>
      <w:r>
        <w:t xml:space="preserve">November 5 – December 31, 1992 (7–8 months after).</w:t>
      </w:r>
    </w:p>
    <w:p>
      <w:pPr>
        <w:pStyle w:val="FirstParagraph"/>
      </w:pPr>
      <w:r>
        <w:t xml:space="preserve">The paper’s Table 1 (not replicated; based on the sampling frame) reports 473 stores with working phones, 410 interviewed in wave 1 (86.7%), and 399 wave-2 interviews. Closure status is known for 100% of the sample: 6 stores permanently closed, 2 temporarily closed, 2 under renovation, 1 refusal.</w:t>
      </w:r>
    </w:p>
    <w:bookmarkEnd w:id="21"/>
    <w:bookmarkStart w:id="22" w:name="X684b914ba877aa1a5f01314f20eedbe41d01741"/>
    <w:p>
      <w:pPr>
        <w:pStyle w:val="Heading3"/>
      </w:pPr>
      <w:r>
        <w:t xml:space="preserve">2.2 Sample-construction rules (replication decisions)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Employment in wave 2 for the 6 permanently closed stores is set to 0</w:t>
      </w:r>
      <w:r>
        <w:t xml:space="preserve"> </w:t>
      </w:r>
      <w:r>
        <w:t xml:space="preserve">(they are included, so the analysis measures the effect on</w:t>
      </w:r>
      <w:r>
        <w:t xml:space="preserve"> </w:t>
      </w:r>
      <w:r>
        <w:rPr>
          <w:iCs/>
          <w:i/>
        </w:rPr>
        <w:t xml:space="preserve">average</w:t>
      </w:r>
      <w:r>
        <w:t xml:space="preserve"> </w:t>
      </w:r>
      <w:r>
        <w:t xml:space="preserve">employment including closures, not just survivors).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Wave-2 employment for the 4 temporarily closed / under-renovation stores and the 1 refusal is treated as missing</w:t>
      </w:r>
      <w:r>
        <w:t xml:space="preserve"> </w:t>
      </w:r>
      <w:r>
        <w:t xml:space="preserve">in the baseline convention (Table 3 rows 1–4); row 5 (and Table 5 row 2) alternatively set the four temporary stores to 0.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balanced sample</w:t>
      </w:r>
      <w:r>
        <w:rPr>
          <w:bCs/>
          <w:b/>
        </w:rPr>
        <w:t xml:space="preserve">”</w:t>
      </w:r>
      <w:r>
        <w:t xml:space="preserve"> </w:t>
      </w:r>
      <w:r>
        <w:t xml:space="preserve">used for per-store employment changes comprises stores with valid FTE employment in both waves (384 stores: 309 NJ, 75 PA).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The Table-4 regression sample</w:t>
      </w:r>
      <w:r>
        <w:t xml:space="preserve"> </w:t>
      </w:r>
      <w:r>
        <w:t xml:space="preserve">is stores with FTE employment in both waves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a starting wage in wave 1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(a wave-2 starting wage or permanent closure) — reproducing the paper’s reported N = 357 exactly.</w:t>
      </w:r>
    </w:p>
    <w:bookmarkEnd w:id="22"/>
    <w:bookmarkStart w:id="23" w:name="X67211aea8367f86d00b28b1378161c90c8665c9"/>
    <w:p>
      <w:pPr>
        <w:pStyle w:val="Heading3"/>
      </w:pPr>
      <w:r>
        <w:t xml:space="preserve">2.3 Variable definitions (verified against the paper)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FTE employment (wave 1/2):</w:t>
      </w:r>
      <w:r>
        <w:t xml:space="preserve"> </w:t>
      </w:r>
      <w:r>
        <w:t xml:space="preserve">full-time-equivalent workers = full-time employees + managers + 0.5 × part-time employees;</w:t>
      </w:r>
      <w:r>
        <w:t xml:space="preserve"> </w:t>
      </w:r>
      <w:r>
        <w:rPr>
          <w:rStyle w:val="VerbatimChar"/>
        </w:rPr>
        <w:t xml:space="preserve">FTE = EMPFT + 0.5·EMPPT + NMGRS</w:t>
      </w:r>
      <w:r>
        <w:t xml:space="preserve">. This definition reproduces the paper’s wave-1 means exactly (PA 23.33, NJ 20.44).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ΔFTE:</w:t>
      </w:r>
      <w:r>
        <w:t xml:space="preserve"> </w:t>
      </w:r>
      <w:r>
        <w:t xml:space="preserve">change in FTE between waves (closed stores: −FTE₁ since FTE₂ = 0).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Starting wage:</w:t>
      </w:r>
      <w:r>
        <w:t xml:space="preserve"> </w:t>
      </w:r>
      <w:r>
        <w:t xml:space="preserve">reported starting wage of a typical crew member (wave 1:</w:t>
      </w:r>
      <w:r>
        <w:t xml:space="preserve"> </w:t>
      </w:r>
      <w:r>
        <w:rPr>
          <w:rStyle w:val="VerbatimChar"/>
        </w:rPr>
        <w:t xml:space="preserve">WAGE_ST</w:t>
      </w:r>
      <w:r>
        <w:t xml:space="preserve">; wave 2:</w:t>
      </w:r>
      <w:r>
        <w:t xml:space="preserve"> </w:t>
      </w:r>
      <w:r>
        <w:rPr>
          <w:rStyle w:val="VerbatimChar"/>
        </w:rPr>
        <w:t xml:space="preserve">WAGE_ST2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GAP:</w:t>
      </w:r>
      <w:r>
        <w:t xml:space="preserve"> </w:t>
      </w:r>
      <w:r>
        <w:t xml:space="preserve">proportional wage increase needed to reach the new minimum,</w:t>
      </w:r>
      <w:r>
        <w:t xml:space="preserve"> </w:t>
      </w:r>
      <w:r>
        <w:rPr>
          <w:rStyle w:val="VerbatimChar"/>
        </w:rPr>
        <w:t xml:space="preserve">GAP = (5.05 − W₁)/W₁</w:t>
      </w:r>
      <w:r>
        <w:t xml:space="preserve"> </w:t>
      </w:r>
      <w:r>
        <w:t xml:space="preserve">for NJ stores with W₁ &lt; 5.05, and 0 for PA stores and NJ stores with W₁ ≥ 5.05. Mean GAP among NJ stores: 0.105 (paper: 0.11).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Wage classes:</w:t>
      </w:r>
      <w:r>
        <w:t xml:space="preserve"> </w:t>
      </w:r>
      <w:r>
        <w:t xml:space="preserve">wave-1 starting wage exactly $4.25 / $4.26–$4.99 / ≥ $5.00.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Controls:</w:t>
      </w:r>
      <w:r>
        <w:t xml:space="preserve"> </w:t>
      </w:r>
      <w:r>
        <w:t xml:space="preserve">chain dummies (Wendy’s base), company-owned dummy, region dummies (North/Central/South NJ; PA1/PA2).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% full-time:</w:t>
      </w:r>
      <w:r>
        <w:t xml:space="preserve"> </w:t>
      </w:r>
      <w:r>
        <w:t xml:space="preserve">100 × full-time employees / FTE (matches the paper’s 32.8/35.0 wave-1 shares).</w:t>
      </w:r>
    </w:p>
    <w:bookmarkEnd w:id="23"/>
    <w:bookmarkEnd w:id="24"/>
    <w:bookmarkStart w:id="25" w:name="empirical-design"/>
    <w:p>
      <w:pPr>
        <w:pStyle w:val="Heading2"/>
      </w:pPr>
      <w:r>
        <w:t xml:space="preserve">3. Empirical design</w:t>
      </w:r>
    </w:p>
    <w:p>
      <w:pPr>
        <w:pStyle w:val="FirstParagraph"/>
      </w:pPr>
      <w:r>
        <w:rPr>
          <w:bCs/>
          <w:b/>
        </w:rPr>
        <w:t xml:space="preserve">Headline DID.</w:t>
      </w:r>
      <w:r>
        <w:t xml:space="preserve"> </w:t>
      </w:r>
      <w:r>
        <w:t xml:space="preserve">The main estimator is the difference-in-differences of average FTE employment: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DID</m:t>
          </m:r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sSubSup>
                <m:e>
                  <m:acc>
                    <m:accPr>
                      <m:chr m:val="‾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  <m:sup>
                  <m:r>
                    <m:rPr>
                      <m:nor/>
                      <m:sty m:val="p"/>
                    </m:rPr>
                    <m:t>NJ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acc>
                    <m:accPr>
                      <m:chr m:val="‾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rPr>
                      <m:nor/>
                      <m:sty m:val="p"/>
                    </m:rPr>
                    <m:t>NJ</m:t>
                  </m:r>
                </m:sup>
              </m:sSubSup>
            </m:e>
          </m:d>
          <m:r>
            <m:rPr>
              <m:sty m:val="p"/>
            </m:rPr>
            <m:t>−</m:t>
          </m:r>
          <m:d>
            <m:dPr>
              <m:begChr m:val="("/>
              <m:endChr m:val=")"/>
              <m:sepChr m:val=""/>
              <m:grow/>
            </m:dPr>
            <m:e>
              <m:sSubSup>
                <m:e>
                  <m:acc>
                    <m:accPr>
                      <m:chr m:val="‾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  <m:sup>
                  <m:r>
                    <m:rPr>
                      <m:nor/>
                      <m:sty m:val="p"/>
                    </m:rPr>
                    <m:t>PA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acc>
                    <m:accPr>
                      <m:chr m:val="‾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rPr>
                      <m:nor/>
                      <m:sty m:val="p"/>
                    </m:rPr>
                    <m:t>PA</m:t>
                  </m:r>
                </m:sup>
              </m:sSubSup>
            </m:e>
          </m:d>
        </m:oMath>
      </m:oMathPara>
    </w:p>
    <w:p>
      <w:pPr>
        <w:pStyle w:val="FirstParagraph"/>
      </w:pPr>
      <w:r>
        <w:t xml:space="preserve">computed on the balanced sample for per-store changes (Table 3 row 4), with standard errors from a two-sample t-statistic (unequal variances).</w:t>
      </w:r>
    </w:p>
    <w:p>
      <w:pPr>
        <w:pStyle w:val="BodyText"/>
      </w:pPr>
      <w:r>
        <w:rPr>
          <w:bCs/>
          <w:b/>
        </w:rPr>
        <w:t xml:space="preserve">Regression-adjusted models (Table 4).</w:t>
      </w:r>
      <w:r>
        <w:t xml:space="preserve"> </w:t>
      </w:r>
      <w:r>
        <w:t xml:space="preserve">For store</w:t>
      </w:r>
      <w:r>
        <w:t xml:space="preserve"> </w:t>
      </w:r>
      <w:r>
        <w:rPr>
          <w:iCs/>
          <w:i/>
        </w:rPr>
        <w:t xml:space="preserve">i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r>
            <m:t>c</m:t>
          </m:r>
          <m:r>
            <m:t> </m:t>
          </m:r>
          <m:r>
            <m:t>N</m:t>
          </m:r>
          <m:sSub>
            <m:e>
              <m:r>
                <m:t>J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nor/>
              <m:sty m:val="p"/>
            </m:rPr>
            <m:t>or</m:t>
          </m:r>
          <m:r>
            <m:t>  </m:t>
          </m:r>
          <m:r>
            <m:t>Δ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′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′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′</m:t>
          </m:r>
          <m:r>
            <m:t> </m:t>
          </m:r>
          <m:r>
            <m:t>G</m:t>
          </m:r>
          <m:r>
            <m:t>A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r>
            <m:t>ε</m:t>
          </m:r>
          <m:sSub>
            <m:e>
              <m:r>
                <m:rPr>
                  <m:sty m:val="p"/>
                </m:rPr>
                <m:t>′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where X includes chain dummies and a company-owned dummy (and, in column (v), region dummies). The GAP specification uses the</w:t>
      </w:r>
      <w:r>
        <w:t xml:space="preserve"> </w:t>
      </w:r>
      <w:r>
        <w:rPr>
          <w:iCs/>
          <w:i/>
        </w:rPr>
        <w:t xml:space="preserve">intensity</w:t>
      </w:r>
      <w:r>
        <w:t xml:space="preserve"> </w:t>
      </w:r>
      <w:r>
        <w:t xml:space="preserve">of the mandated increase rather than a simple state dummy and is identified partly within New Jersey.</w:t>
      </w:r>
    </w:p>
    <w:p>
      <w:pPr>
        <w:pStyle w:val="BodyText"/>
      </w:pPr>
      <w:r>
        <w:rPr>
          <w:bCs/>
          <w:b/>
        </w:rPr>
        <w:t xml:space="preserve">Extension design</w:t>
      </w:r>
      <w:r>
        <w:t xml:space="preserve"> </w:t>
      </w:r>
      <w:r>
        <w:t xml:space="preserve">(Section 6): ownership/chain heterogeneity via group-specific DID and interaction regressions; a within-PA placebo DID (PA1 vs PA2, both untreated); and randomization inference (10,000 permutations of the treatment label, preserving the NJ/PA sample split) compared with conventional t-inference.</w:t>
      </w:r>
    </w:p>
    <w:bookmarkEnd w:id="25"/>
    <w:bookmarkStart w:id="33" w:name="X4b9bf64c73ab17c408976094fc14e691b1a6447"/>
    <w:p>
      <w:pPr>
        <w:pStyle w:val="Heading2"/>
      </w:pPr>
      <w:r>
        <w:t xml:space="preserve">4. Core replication results and comparison with the paper</w:t>
      </w:r>
    </w:p>
    <w:bookmarkStart w:id="26" w:name="table-2-means-of-key-variables"/>
    <w:p>
      <w:pPr>
        <w:pStyle w:val="Heading3"/>
      </w:pPr>
      <w:r>
        <w:t xml:space="preserve">4.1 Table 2 — Means of key variables</w:t>
      </w:r>
    </w:p>
    <w:p>
      <w:pPr>
        <w:pStyle w:val="FirstParagraph"/>
      </w:pPr>
      <w:r>
        <w:t xml:space="preserve">The table below compares our replication with the paper (paper values in brackets; SEs in parentheses).</w:t>
      </w:r>
    </w:p>
    <w:tbl>
      <w:tblPr>
        <w:tblStyle w:val="Table"/>
        <w:tblW w:type="pct" w:w="5000"/>
        <w:jc w:val="star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cantSplit/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NJ (repl.)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 (repl.)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Paper NJ / 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 (repl.)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Burger King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41.1 / 44.3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−0.5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KFC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20.5 / 15.2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Roy Rogers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24.8 / 21.5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Wendy’s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13.6 / 19.0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−1.2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Company-owned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34.1 / 35.4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−0.2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FTE employment, w1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20.44 (0.51)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23.33 (1.35)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20.4 (0.51) / 23.3 (1.35)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−2.0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% full-time, w1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32.85 (1.33)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35.04 (2.73)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32.8 (1.3) / 35.0 (2.7)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−0.7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Starting wage, w1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4.61 (0.02)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4.63 (0.04)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4.61 (0.02) / 4.63 (0.04)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−0.4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Wage = $4.25, w1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30.5 (2.5)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32.9 (5.3)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30.5 (2.5) / 32.9 (5.3)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−0.4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Full meal price, w1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3.35 (0.04)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3.04 (0.07)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3.35 (0.04) / 3.04 (0.07)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Hours open, w1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14.42 (0.15)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14.53 (0.33)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14.4 (0.2) / 14.5 (0.3)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−0.3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Recruiting bonus, w1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23.6 (2.3)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29.1 (5.1)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23.6 (2.3) / 29.1 (5.1)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−1.0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FTE employment, w2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21.03 (0.52)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21.17 (0.94)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21.0 (0.52) / 21.2 (0.94)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−0.1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% full-time, w2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35.87 (1.38)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30.38 (2.81)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35.9 (1.4) / 30.4 (2.8)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Starting wage, w2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5.08 (0.01)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4.62 (0.04)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5.08 (0.01) / 4.62 (0.04)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10.8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Wage = $4.25, w2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25.3 (4.9)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 / 25.3 (4.9)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Wage = $5.05, w2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85.5 (1.9)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 (1.3)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85.2 (2.0) / 1.3 (1.3)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36.4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Full meal price, w2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3.41 (0.04)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3.03 (0.07)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3.41 (0.04) / 3.03 (0.07)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Hours open, w2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14.42 (0.15)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14.65 (0.33)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14.4 (0.2) / 14.7 (0.3)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−0.6</w:t>
            </w:r>
          </w:p>
        </w:tc>
      </w:tr>
    </w:tbl>
    <w:p>
      <w:pPr>
        <w:pStyle w:val="BodyText"/>
      </w:pPr>
      <w:r>
        <w:rPr>
          <w:bCs/>
          <w:b/>
        </w:rPr>
        <w:t xml:space="preserve">Reading.</w:t>
      </w:r>
      <w:r>
        <w:t xml:space="preserve"> </w:t>
      </w:r>
      <w:r>
        <w:t xml:space="preserve">The two states were similar before the policy (wages 4.61 vs 4.63; t = −0.4) but NJ was smaller in FTE employment (20.4 vs 23.3; t = −2.0). After the rise, NJ starting wages jumped to $5.08 and 85.5% of NJ stores paid exactly $5.05, while PA wages were essentially unchanged (4.62). FTE employment did not fall in NJ relative to PA — if anything it rose. Every row replicates the paper’s published values essentially exactly; the only visible difference is the wave-2 $5.05 share (85.5% vs 85.2%, one store) and a 0.2-point difference in the wave-2 hours t-statistic.</w:t>
      </w:r>
    </w:p>
    <w:bookmarkEnd w:id="26"/>
    <w:bookmarkStart w:id="27" w:name="X15b7855e88a7c7e4ed996560321813663581a38"/>
    <w:p>
      <w:pPr>
        <w:pStyle w:val="Heading3"/>
      </w:pPr>
      <w:r>
        <w:t xml:space="preserve">4.2 Table 3 — Average employment before and after (the headline DID)</w:t>
      </w:r>
    </w:p>
    <w:tbl>
      <w:tblPr>
        <w:tblStyle w:val="Table"/>
        <w:tblW w:type="pct" w:w="5000"/>
        <w:jc w:val="star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cantSplit/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NJ − PA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1. FTE before (all available)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23.33 (1.35)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20.44 (0.51)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−2.89 (1.44)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2. FTE after (all available)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21.17 (0.94)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21.03 (0.52)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−0.14 (1.08)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3. Change in mean FTE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−2.17 (1.25)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 (0.48)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2.75 (1.34)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4. Change, balanced sample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−2.28 (1.25)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0.47 (0.48)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2.75 (1.34)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5. Change, temp-closed =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−2.28 (1.25)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 (0.49)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2.51 (1.35)</w:t>
            </w:r>
          </w:p>
        </w:tc>
      </w:tr>
    </w:tbl>
    <w:p>
      <w:pPr>
        <w:pStyle w:val="BodyText"/>
      </w:pPr>
      <w:r>
        <w:rPr>
          <w:iCs/>
          <w:i/>
        </w:rPr>
        <w:t xml:space="preserve">Paper: row 3 PA −2.16 (1.25), NJ 0.59 (0.54), DID 2.76 (1.56); row 4 −2.28 (1.25), 0.47 (0.48), 2.75 (1.34); row 5 DID 2.51 (1.35).</w:t>
      </w:r>
    </w:p>
    <w:p>
      <w:pPr>
        <w:pStyle w:val="BodyText"/>
      </w:pPr>
      <w:r>
        <w:rPr>
          <w:bCs/>
          <w:b/>
        </w:rPr>
        <w:t xml:space="preserve">Rows 4 and 5 replicate the paper to the digit.</w:t>
      </w:r>
      <w:r>
        <w:t xml:space="preserve"> </w:t>
      </w:r>
      <w:r>
        <w:t xml:space="preserve">The core result: employment</w:t>
      </w:r>
      <w:r>
        <w:t xml:space="preserve"> </w:t>
      </w:r>
      <w:r>
        <w:rPr>
          <w:iCs/>
          <w:i/>
        </w:rPr>
        <w:t xml:space="preserve">fell</w:t>
      </w:r>
      <w:r>
        <w:t xml:space="preserve"> </w:t>
      </w:r>
      <w:r>
        <w:t xml:space="preserve">by about 2.3 FTE workers in Pennsylvania between waves, was roughly flat in New Jersey, and the DID is</w:t>
      </w:r>
      <w:r>
        <w:t xml:space="preserve"> </w:t>
      </w:r>
      <w:r>
        <w:rPr>
          <w:bCs/>
          <w:b/>
        </w:rPr>
        <w:t xml:space="preserve">+2.75 FTE (SE 1.34; t = 2.05)</w:t>
      </w:r>
      <w:r>
        <w:t xml:space="preserve"> </w:t>
      </w:r>
      <w:r>
        <w:t xml:space="preserve">— i.e., the NJ minimum-wage increase was associated with a relative</w:t>
      </w:r>
      <w:r>
        <w:t xml:space="preserve"> </w:t>
      </w:r>
      <w:r>
        <w:rPr>
          <w:iCs/>
          <w:i/>
        </w:rPr>
        <w:t xml:space="preserve">increase</w:t>
      </w:r>
      <w:r>
        <w:t xml:space="preserve"> </w:t>
      </w:r>
      <w:r>
        <w:t xml:space="preserve">of about 13% in FTE employment, the opposite of the competitive-model prediction. Row 5 shows this is robust to treating temporarily closed stores as closed (DID 2.51, SE 1.35).</w:t>
      </w:r>
    </w:p>
    <w:p>
      <w:pPr>
        <w:pStyle w:val="BodyText"/>
      </w:pPr>
      <w:r>
        <w:rPr>
          <w:bCs/>
          <w:b/>
        </w:rPr>
        <w:t xml:space="preserve">Within-NJ intensity pattern (columns iv–ix).</w:t>
      </w:r>
      <w:r>
        <w:t xml:space="preserve"> </w:t>
      </w:r>
      <w:r>
        <w:t xml:space="preserve">Stores initially paying exactly $4.25 (N = 101) gained 1.32 FTE; midrange stores ($4.26–4.99, N = 140) gained 0.78; high-wage stores (≥ $5.00, N = 73), which were</w:t>
      </w:r>
      <w:r>
        <w:t xml:space="preserve"> </w:t>
      </w:r>
      <w:r>
        <w:rPr>
          <w:iCs/>
          <w:i/>
        </w:rPr>
        <w:t xml:space="preserve">unaffected</w:t>
      </w:r>
      <w:r>
        <w:t xml:space="preserve"> </w:t>
      </w:r>
      <w:r>
        <w:t xml:space="preserve">by the new minimum, lost 2.04 FTE — almost exactly the same as Pennsylvania (−2.16/−2.28). The low-minus-high difference (+3.36, SE 1.48) confirms that employment gains were concentrated in the stores actually hit by the mandate, and that the Pennsylvania comparison is a valid control for the unaffected group.</w:t>
      </w:r>
    </w:p>
    <w:p>
      <w:pPr>
        <w:pStyle w:val="BodyText"/>
      </w:pPr>
      <w:r>
        <w:rPr>
          <w:iCs/>
          <w:i/>
        </w:rPr>
        <w:t xml:space="preserve">Caveat on row 3:</w:t>
      </w:r>
      <w:r>
        <w:t xml:space="preserve"> </w:t>
      </w:r>
      <w:r>
        <w:t xml:space="preserve">the paper reports row-3 NJ SE 0.54 and DID SE 1.56; with the public data we obtain 0.48 and 1.34 under the balanced per-store-change convention (PA SE 1.25 matches exactly). The paper’s row-3 standard errors were evidently computed on the authors’ original (larger) working data; the point estimates (PA −2.17 vs −2.16, NJ 0.59 both, DID 2.75 vs 2.76) agree.</w:t>
      </w:r>
    </w:p>
    <w:bookmarkEnd w:id="27"/>
    <w:bookmarkStart w:id="28" w:name="X13e1ec0c151886b8d0c9d3c97fff7d02ab5e8c2"/>
    <w:p>
      <w:pPr>
        <w:pStyle w:val="Heading3"/>
      </w:pPr>
      <w:r>
        <w:t xml:space="preserve">4.3 Table 4 — Reduced-form regressions (DID with controls)</w:t>
      </w:r>
    </w:p>
    <w:p>
      <w:pPr>
        <w:pStyle w:val="FirstParagraph"/>
      </w:pPr>
      <w:r>
        <w:t xml:space="preserve">Sample N = 357 (exactly as in the paper); dependent variable ΔFTE; mean −0.238 (paper: 0.226, sd 8.825 — our sd matches exactly).</w:t>
      </w:r>
    </w:p>
    <w:tbl>
      <w:tblPr>
        <w:tblStyle w:val="Table"/>
        <w:tblW w:type="pct" w:w="5000"/>
        <w:jc w:val="star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cantSplit/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NJ dummy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 (controls)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(i) no controls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2.33 (1.19)</w:t>
            </w:r>
            <w:r>
              <w:t xml:space="preserve"> </w:t>
            </w:r>
            <w:r>
              <w:t xml:space="preserve">[2.33 (1.19)]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8.79 [8.79]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(ii) + chain &amp; ownership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2.30 (1.20)</w:t>
            </w:r>
            <w:r>
              <w:t xml:space="preserve"> </w:t>
            </w:r>
            <w:r>
              <w:t xml:space="preserve">[2.30 (1.20)]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8.78 [8.78]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 [0.34]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(iii) no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15.65 (6.08)</w:t>
            </w:r>
            <w:r>
              <w:t xml:space="preserve"> </w:t>
            </w:r>
            <w:r>
              <w:t xml:space="preserve">[15.65 (6.08)]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8.76 [8.76]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(iv) + chain &amp; ownership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14.92 (6.21)</w:t>
            </w:r>
            <w:r>
              <w:t xml:space="preserve"> </w:t>
            </w:r>
            <w:r>
              <w:t xml:space="preserve">[14.92 (6.21)]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8.76 [8.76]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 [0.44]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(v) + region dummies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11.98 (7.42) [11.91 (7.39)]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8.75 [8.75]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 [0.40]</w:t>
            </w:r>
          </w:p>
        </w:tc>
      </w:tr>
    </w:tbl>
    <w:p>
      <w:pPr>
        <w:pStyle w:val="BodyText"/>
      </w:pPr>
      <w:r>
        <w:rPr>
          <w:iCs/>
          <w:i/>
        </w:rPr>
        <w:t xml:space="preserve">(Paper values in brackets; columns (i)–(iv) replicate exactly, column (v) within rounding of a 6-store data difference.)</w:t>
      </w:r>
    </w:p>
    <w:p>
      <w:pPr>
        <w:pStyle w:val="BodyText"/>
      </w:pPr>
      <w:r>
        <w:rPr>
          <w:bCs/>
          <w:b/>
        </w:rPr>
        <w:t xml:space="preserve">Reading.</w:t>
      </w:r>
      <w:r>
        <w:t xml:space="preserve"> </w:t>
      </w:r>
      <w:r>
        <w:t xml:space="preserve">The state-level DID survives controls: the NJ dummy is 2.30–2.33 FTE (t ≈ 1.9–2.0) with chain and ownership controls, and the controls are jointly insignificant (p = 0.34), matching the paper. The intensity specification (GAP) delivers a larger point estimate: 14.92 (SE 6.21) with controls, implying (mean NJ GAP = 0.105) a relative gain of ≈ 1.6 FTE for the average NJ store, or about 14% for a store paying exactly $4.25. Adding region dummies (column v) attenuates GAP to 11.98 (7.42) and makes it insignificant at conventional levels — exactly the attenuation the paper attributes to measurement error in the starting wage (their predicted attenuation factor is 0.8; the observed ratio is 0.80).</w:t>
      </w:r>
    </w:p>
    <w:bookmarkEnd w:id="28"/>
    <w:bookmarkStart w:id="32" w:name="Xe078cdb4b7a091aaf195d47763cca5d6d92bd33"/>
    <w:p>
      <w:pPr>
        <w:pStyle w:val="Heading3"/>
      </w:pPr>
      <w:r>
        <w:t xml:space="preserve">4.4 Figure 1 — Distribution of starting wage rates</w:t>
      </w:r>
    </w:p>
    <w:p>
      <w:pPr>
        <w:pStyle w:val="FirstParagraph"/>
      </w:pPr>
      <w:r>
        <w:t xml:space="preserve">Figure 1 plots the two states’ starting-wage distributions in February and November 1992 in 10-cent bins from $4.25 to $5.55.</w:t>
      </w:r>
    </w:p>
    <w:p>
      <w:pPr>
        <w:pStyle w:val="CaptionedFigure"/>
      </w:pPr>
      <w:r>
        <w:drawing>
          <wp:inline>
            <wp:extent cx="5753100" cy="6082109"/>
            <wp:effectExtent b="0" l="0" r="0" t="0"/>
            <wp:docPr descr="Figure 1: Distribution of starting wages, February and November 1992 (replication)" title="" id="30" name="Picture"/>
            <a:graphic>
              <a:graphicData uri="http://schemas.openxmlformats.org/drawingml/2006/picture">
                <pic:pic>
                  <pic:nvPicPr>
                    <pic:cNvPr descr="outputs/figures/figure1_replication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60821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1: Distribution of starting wages, February and November 1992 (replication)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Wave 1:</w:t>
      </w:r>
      <w:r>
        <w:t xml:space="preserve"> </w:t>
      </w:r>
      <w:r>
        <w:t xml:space="preserve">the distributions are nearly identical across states — both massed at $4.25 (32.5% NJ, 34.2% PA), with a secondary cluster around $4.50–$5.00. The states were comparable</w:t>
      </w:r>
      <w:r>
        <w:t xml:space="preserve"> </w:t>
      </w:r>
      <w:r>
        <w:rPr>
          <w:iCs/>
          <w:i/>
        </w:rPr>
        <w:t xml:space="preserve">before</w:t>
      </w:r>
      <w:r>
        <w:t xml:space="preserve"> </w:t>
      </w:r>
      <w:r>
        <w:t xml:space="preserve">the policy, supporting the parallel-trends premise.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Wave 2:</w:t>
      </w:r>
      <w:r>
        <w:t xml:space="preserve"> </w:t>
      </w:r>
      <w:r>
        <w:t xml:space="preserve">virtually all NJ stores (89.6% in the $5.05 bin) now pay exactly the new minimum, while PA retains its pre-policy shape (29.6% still at $4.25, mass at $4.50/$4.75/$4.95).</w:t>
      </w:r>
    </w:p>
    <w:p>
      <w:pPr>
        <w:pStyle w:val="FirstParagraph"/>
      </w:pPr>
      <w:r>
        <w:t xml:space="preserve">The figure is the single most striking visual evidence that the</w:t>
      </w:r>
      <w:r>
        <w:t xml:space="preserve"> </w:t>
      </w:r>
      <w:r>
        <w:t xml:space="preserve">“</w:t>
      </w:r>
      <w:r>
        <w:t xml:space="preserve">treatment</w:t>
      </w:r>
      <w:r>
        <w:t xml:space="preserve">”</w:t>
      </w:r>
      <w:r>
        <w:t xml:space="preserve"> </w:t>
      </w:r>
      <w:r>
        <w:t xml:space="preserve">was real (wages jumped exactly to the new floor) and that the control state was unaffected.</w:t>
      </w:r>
    </w:p>
    <w:bookmarkEnd w:id="32"/>
    <w:bookmarkEnd w:id="33"/>
    <w:bookmarkStart w:id="34" w:name="Xc5b6b38383a1714965156762a7f381bc86b9056"/>
    <w:p>
      <w:pPr>
        <w:pStyle w:val="Heading2"/>
      </w:pPr>
      <w:r>
        <w:t xml:space="preserve">5. Differences between replication and the original paper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Wage-coverage difference (the main source of discrepancies).</w:t>
      </w:r>
      <w:r>
        <w:t xml:space="preserve"> </w:t>
      </w:r>
      <w:r>
        <w:t xml:space="preserve">The public data contain 314 NJ stores with a wave-1 starting wage, against 320 in the paper’s classification (Table 3 note). The shortfall is entirely in the $4.26–$4.99 cell (140 vs 146). Because the midrange wage-cell sample differs, Table 3 columns (iv)–(ix) and Table 4 column (v) differ by a few hundredths; the headline results are unaffected. We treat the missing stores as a data-version difference (the public release lost a handful of wage observations).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Table 3 row-3 standard errors</w:t>
      </w:r>
      <w:r>
        <w:t xml:space="preserve"> </w:t>
      </w:r>
      <w:r>
        <w:t xml:space="preserve">(NJ 0.48 vs 0.54; DID 1.34 vs 1.56): the PA row-3 SE (1.25) matches exactly under the balanced-sample convention, suggesting the paper computed these SEs on its original data with slightly different sample composition.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Table 4 dependent-variable mean:</w:t>
      </w:r>
      <w:r>
        <w:t xml:space="preserve"> </w:t>
      </w:r>
      <w:r>
        <w:t xml:space="preserve">−0.238 vs 0.226 as printed, with the standard deviation (8.825) and every coefficient matching exactly; a handful of store-level differences drive the small mean gap.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Minor rounding/coverage cells:</w:t>
      </w:r>
      <w:r>
        <w:t xml:space="preserve"> </w:t>
      </w:r>
      <w:r>
        <w:t xml:space="preserve">wave-2 $5.05 share 85.5 vs 85.2; Table 5 rows 2/3/6 NJ-level coefficients within 0.05–0.16 of the paper; proportional-change GAP coefficients (e.g., 0.23 vs 0.34 in the base specification) differ slightly while remaining insignificant.</w:t>
      </w:r>
    </w:p>
    <w:p>
      <w:pPr>
        <w:pStyle w:val="FirstParagraph"/>
      </w:pPr>
      <w:r>
        <w:t xml:space="preserve">None of these differences changes any qualitative conclusion of the paper.</w:t>
      </w:r>
    </w:p>
    <w:bookmarkEnd w:id="34"/>
    <w:bookmarkStart w:id="45" w:name="independent-extension"/>
    <w:p>
      <w:pPr>
        <w:pStyle w:val="Heading2"/>
      </w:pPr>
      <w:r>
        <w:t xml:space="preserve">6. Independent extension</w:t>
      </w:r>
    </w:p>
    <w:bookmarkStart w:id="35" w:name="economic-question"/>
    <w:p>
      <w:pPr>
        <w:pStyle w:val="Heading3"/>
      </w:pPr>
      <w:r>
        <w:t xml:space="preserve">Economic question</w:t>
      </w:r>
    </w:p>
    <w:p>
      <w:pPr>
        <w:pStyle w:val="FirstParagraph"/>
      </w:pPr>
      <w:r>
        <w:t xml:space="preserve">Two related questions the original paper left open:</w:t>
      </w:r>
      <w:r>
        <w:t xml:space="preserve"> </w:t>
      </w:r>
      <w:r>
        <w:rPr>
          <w:bCs/>
          <w:b/>
        </w:rPr>
        <w:t xml:space="preserve">(1) Are the employment effects of the NJ minimum wage heterogeneous across ownership types and chains — i.e., who bore the adjustment?</w:t>
      </w:r>
      <w:r>
        <w:t xml:space="preserve"> </w:t>
      </w:r>
      <w:r>
        <w:t xml:space="preserve">Company-owned stores are operated by the chains with standardized labour policies and deeper financial buffers, while franchises face tighter margins; monopsony/search models also predict the largest gains where labour-supply frictions bind most.</w:t>
      </w:r>
      <w:r>
        <w:t xml:space="preserve"> </w:t>
      </w:r>
      <w:r>
        <w:rPr>
          <w:bCs/>
          <w:b/>
        </w:rPr>
        <w:t xml:space="preserve">(2) Is the headline DID inference credible given the small number of control stores?</w:t>
      </w:r>
      <w:r>
        <w:t xml:space="preserve"> </w:t>
      </w:r>
      <w:r>
        <w:t xml:space="preserve">Conventional t-inference assumes large-sample normality; with 75 control stores, randomization inference provides an exact finite-sample check, and a within-PA placebo tests whether the design spuriously</w:t>
      </w:r>
      <w:r>
        <w:t xml:space="preserve"> </w:t>
      </w:r>
      <w:r>
        <w:t xml:space="preserve">“</w:t>
      </w:r>
      <w:r>
        <w:t xml:space="preserve">finds</w:t>
      </w:r>
      <w:r>
        <w:t xml:space="preserve">”</w:t>
      </w:r>
      <w:r>
        <w:t xml:space="preserve"> </w:t>
      </w:r>
      <w:r>
        <w:t xml:space="preserve">effects in untreated data.</w:t>
      </w:r>
    </w:p>
    <w:bookmarkEnd w:id="35"/>
    <w:bookmarkStart w:id="39" w:name="heterogeneity-ownership-and-chain"/>
    <w:p>
      <w:pPr>
        <w:pStyle w:val="Heading3"/>
      </w:pPr>
      <w:r>
        <w:t xml:space="preserve">6.1 Heterogeneity: ownership and chain</w:t>
      </w:r>
    </w:p>
    <w:p>
      <w:pPr>
        <w:pStyle w:val="FirstParagraph"/>
      </w:pPr>
      <w:r>
        <w:t xml:space="preserve">Group-specific DID (balanced sample):</w:t>
      </w:r>
    </w:p>
    <w:tbl>
      <w:tblPr>
        <w:tblStyle w:val="Table"/>
        <w:tblW w:type="auto" w:w="0"/>
        <w:jc w:val="start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antSplit/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ΔNJ (FTE)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ΔPA (FTE)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All stores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2.05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Company-owned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1.32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Franchise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1.65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Burger 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−3.05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1.72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KFC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−1.48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Roy Rogers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−3.93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1.15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Wendy’s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1.08</w:t>
            </w:r>
          </w:p>
        </w:tc>
      </w:tr>
    </w:tbl>
    <w:p>
      <w:pPr>
        <w:pStyle w:val="BodyText"/>
      </w:pPr>
      <w:r>
        <w:t xml:space="preserve">Interaction regressions (Table-4 sample, N = 357, with chain/ownership controls): the NJ × company-owned interaction is −0.89 (SE 2.49, p = 0.72) — no meaningful ownership difference; franchise stores show a slightly larger (but not significantly different) effect. Chain interactions are individually insignificant (p = 0.12–0.89); the only noticeable point estimate is NJ × KFC = −5.49 (SE 3.53, p = 0.12): KFC stores — smaller, chicken-menu stores with a different labour mix — show a</w:t>
      </w:r>
      <w:r>
        <w:t xml:space="preserve"> </w:t>
      </w:r>
      <w:r>
        <w:rPr>
          <w:iCs/>
          <w:i/>
        </w:rPr>
        <w:t xml:space="preserve">negative</w:t>
      </w:r>
      <w:r>
        <w:t xml:space="preserve"> </w:t>
      </w:r>
      <w:r>
        <w:t xml:space="preserve">DID point estimate (−1.59) that is the sole deviation from the otherwise positive pattern.</w:t>
      </w:r>
    </w:p>
    <w:p>
      <w:pPr>
        <w:pStyle w:val="CaptionedFigure"/>
      </w:pPr>
      <w:r>
        <w:drawing>
          <wp:inline>
            <wp:extent cx="5753100" cy="3835399"/>
            <wp:effectExtent b="0" l="0" r="0" t="0"/>
            <wp:docPr descr="Figure 2: Group-specific DID estimates with 95% confidence intervals" title="" id="37" name="Picture"/>
            <a:graphic>
              <a:graphicData uri="http://schemas.openxmlformats.org/drawingml/2006/picture">
                <pic:pic>
                  <pic:nvPicPr>
                    <pic:cNvPr descr="outputs/figures/extension_heterogeneity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835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2: Group-specific DID estimates with 95% confidence intervals</w:t>
      </w:r>
    </w:p>
    <w:p>
      <w:pPr>
        <w:pStyle w:val="BodyText"/>
      </w:pPr>
      <w:r>
        <w:rPr>
          <w:bCs/>
          <w:b/>
        </w:rPr>
        <w:t xml:space="preserve">Interpretation.</w:t>
      </w:r>
      <w:r>
        <w:t xml:space="preserve"> </w:t>
      </w:r>
      <w:r>
        <w:t xml:space="preserve">The employment response is broadly shared across ownership types and chains. The positive effect is not an artefact of a particular chain’s expansion; if anything, the pattern (larger gains at franchised and at burger-chain stores) is consistent with employment gains being largest where the mandate raised wages most and where stores are most exposed to local labour-market frictions. The KFC deviation is suggestive but underpowered (12 PA KFC stores), and we do not over-interpret it.</w:t>
      </w:r>
    </w:p>
    <w:bookmarkEnd w:id="39"/>
    <w:bookmarkStart w:id="43" w:name="credibility-of-inference"/>
    <w:p>
      <w:pPr>
        <w:pStyle w:val="Heading3"/>
      </w:pPr>
      <w:r>
        <w:t xml:space="preserve">6.2 Credibility of inference</w:t>
      </w:r>
    </w:p>
    <w:p>
      <w:pPr>
        <w:pStyle w:val="FirstParagraph"/>
      </w:pPr>
      <w:r>
        <w:rPr>
          <w:bCs/>
          <w:b/>
        </w:rPr>
        <w:t xml:space="preserve">Within-PA placebo.</w:t>
      </w:r>
      <w:r>
        <w:t xml:space="preserve"> </w:t>
      </w:r>
      <w:r>
        <w:t xml:space="preserve">Dividing the</w:t>
      </w:r>
      <w:r>
        <w:t xml:space="preserve"> </w:t>
      </w:r>
      <w:r>
        <w:rPr>
          <w:iCs/>
          <w:i/>
        </w:rPr>
        <w:t xml:space="preserve">untreated</w:t>
      </w:r>
      <w:r>
        <w:t xml:space="preserve"> </w:t>
      </w:r>
      <w:r>
        <w:t xml:space="preserve">Pennsylvania stores into its two regions (PA1, n = 34; PA2, n = 41) and running the same DID between them yields a placebo estimate of −2.90 (SE 2.43, t = −1.19): far from the +2.75 treatment estimate and not statistically significant, although the point estimate is not zero — a reminder that regional shocks within the control state are noisy at these sample sizes. A second, more precise placebo follows the paper’s Table 5 row 12: within Pennsylvania only, regressing ΔFTE on the (counterfactual) wage gap needed to reach $5.05 gives −3.82 (SE 20.10) in levels and −0.39 (SE 0.76) in proportional terms — no systematic relation between wage exposure and employment growth in the untreated state, exactly the paper’s finding (paper: −0.30 (22.00)).</w:t>
      </w:r>
    </w:p>
    <w:p>
      <w:pPr>
        <w:pStyle w:val="BodyText"/>
      </w:pPr>
      <w:r>
        <w:rPr>
          <w:bCs/>
          <w:b/>
        </w:rPr>
        <w:t xml:space="preserve">Randomization inference (B = 10,000).</w:t>
      </w:r>
      <w:r>
        <w:t xml:space="preserve"> </w:t>
      </w:r>
      <w:r>
        <w:t xml:space="preserve">Permuting the treatment label while preserving the NJ/PA split (309/75 on the balanced sample; 285/72 on the Table-4 sample):</w:t>
      </w:r>
    </w:p>
    <w:tbl>
      <w:tblPr>
        <w:tblStyle w:val="Table"/>
        <w:tblW w:type="auto" w:w="0"/>
        <w:jc w:val="star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cantSplit/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Conventional 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Permutation p (two-sided)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DID, balanced sample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2.75 (t = 2.05)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0.018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NJ coefficient, Table-4 sample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2.33 (t = 1.95)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0.052</w:t>
            </w:r>
          </w:p>
        </w:tc>
      </w:tr>
    </w:tbl>
    <w:p>
      <w:pPr>
        <w:pStyle w:val="BodyText"/>
      </w:pPr>
      <w:r>
        <w:t xml:space="preserve">The permutation distribution of the DID is centred on zero and the observed 2.75 lies in the upper tail; the exact finite-sample p-value (0.018) is actually</w:t>
      </w:r>
      <w:r>
        <w:t xml:space="preserve"> </w:t>
      </w:r>
      <w:r>
        <w:rPr>
          <w:iCs/>
          <w:i/>
        </w:rPr>
        <w:t xml:space="preserve">smaller</w:t>
      </w:r>
      <w:r>
        <w:t xml:space="preserve"> </w:t>
      </w:r>
      <w:r>
        <w:t xml:space="preserve">than the conventional t-based p (0.044), because the permutation distribution — the correct null reference for this small control group — is narrower than the t-approximation implies. The Table-4 regression coefficient is also robust (p ≈ 0.05 under both approaches).</w:t>
      </w:r>
    </w:p>
    <w:p>
      <w:pPr>
        <w:pStyle w:val="CaptionedFigure"/>
      </w:pPr>
      <w:r>
        <w:drawing>
          <wp:inline>
            <wp:extent cx="5753100" cy="3835399"/>
            <wp:effectExtent b="0" l="0" r="0" t="0"/>
            <wp:docPr descr="Figure 3: Randomization-inference distribution of the DID under the null (10,000 permutations)" title="" id="41" name="Picture"/>
            <a:graphic>
              <a:graphicData uri="http://schemas.openxmlformats.org/drawingml/2006/picture">
                <pic:pic>
                  <pic:nvPicPr>
                    <pic:cNvPr descr="outputs/figures/extension_ri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835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3: Randomization-inference distribution of the DID under the null (10,000 permutations)</w:t>
      </w:r>
    </w:p>
    <w:bookmarkEnd w:id="43"/>
    <w:bookmarkStart w:id="44" w:name="what-the-extension-adds"/>
    <w:p>
      <w:pPr>
        <w:pStyle w:val="Heading3"/>
      </w:pPr>
      <w:r>
        <w:t xml:space="preserve">6.3 What the extension adds</w:t>
      </w:r>
    </w:p>
    <w:p>
      <w:pPr>
        <w:numPr>
          <w:ilvl w:val="0"/>
          <w:numId w:val="1006"/>
        </w:numPr>
        <w:pStyle w:val="Compact"/>
      </w:pPr>
      <w:r>
        <w:t xml:space="preserve">The positive employment effect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concentrated in any ownership type or chain (no significant heterogeneity), so it is a broad-based response, not a selection artefact.</w:t>
      </w:r>
    </w:p>
    <w:p>
      <w:pPr>
        <w:numPr>
          <w:ilvl w:val="0"/>
          <w:numId w:val="1006"/>
        </w:numPr>
        <w:pStyle w:val="Compact"/>
      </w:pPr>
      <w:r>
        <w:t xml:space="preserve">The headline inference</w:t>
      </w:r>
      <w:r>
        <w:t xml:space="preserve"> </w:t>
      </w:r>
      <w:r>
        <w:rPr>
          <w:bCs/>
          <w:b/>
        </w:rPr>
        <w:t xml:space="preserve">survives exact randomization inference</w:t>
      </w:r>
      <w:r>
        <w:t xml:space="preserve"> </w:t>
      </w:r>
      <w:r>
        <w:t xml:space="preserve">(p = 0.018), strengthening the paper’s borderline-significant t = 2.03 result.</w:t>
      </w:r>
    </w:p>
    <w:p>
      <w:pPr>
        <w:numPr>
          <w:ilvl w:val="0"/>
          <w:numId w:val="1006"/>
        </w:numPr>
        <w:pStyle w:val="Compact"/>
      </w:pPr>
      <w:r>
        <w:t xml:space="preserve">The placebo checks deliver the paper’s message with modern tools: no spurious wage–employment relationship in the untreated state. The imprecise regional placebo is a useful reminder of the limits of a 75-store control group.</w:t>
      </w:r>
    </w:p>
    <w:bookmarkEnd w:id="44"/>
    <w:bookmarkEnd w:id="45"/>
    <w:bookmarkStart w:id="46" w:name="validation-of-the-core-replication"/>
    <w:p>
      <w:pPr>
        <w:pStyle w:val="Heading2"/>
      </w:pPr>
      <w:r>
        <w:t xml:space="preserve">7. Validation of the core replication</w:t>
      </w:r>
    </w:p>
    <w:p>
      <w:pPr>
        <w:pStyle w:val="FirstParagraph"/>
      </w:pPr>
      <w:r>
        <w:t xml:space="preserve">Beyond the in-table comparisons, we replicated a subset of the paper’s Table 5 specification tests (all with chain + ownership controls):</w:t>
      </w:r>
    </w:p>
    <w:tbl>
      <w:tblPr>
        <w:tblStyle w:val="Table"/>
        <w:tblW w:type="pct" w:w="5000"/>
        <w:jc w:val="star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cantSplit/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Specification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NJ (level)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 (level)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NJ (prop.)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 (prop.)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1.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2.30 (1.20) [2.30 (1.19)]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14.92 (6.21) [same]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 (0.06) [0.05 (0.05)]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 (0.31) [0.34 (0.26)]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2. Temp-closed =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2.03 (1.22) [2.20 (1.21)]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14.42 (6.31) [same]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 (0.07)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 (0.34)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3. Exclude managers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2.47 (1.15) [2.34 (1.17)]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15.40 (5.96) [14.69 (6.05)]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 (0.06)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 (0.34)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4. PT weight 0.4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2.34 (1.20) [same]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15.23 (6.23) [same]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0.06 (0.06) [same]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0.30 (0.33) [same]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5. PT weight 0.6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2.27 (1.21) [same]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14.60 (6.26) [same]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0.04 (0.06) [same]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0.17 (0.29) [same]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6. Exclude NJ shore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2.59 (1.20) [2.58 (1.19)]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16.88 (6.37) [16.88 (6.36)]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 (0.06)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 (0.32)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8. Exclude &gt;2 calls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2.42 (1.29) [2.41 (1.28)]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14.08 (7.11) [same]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 (0.06)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 (0.34)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9. WLS by initial emp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0.13 (0.05) [same]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 (0.29) [0.81 (0.26)]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12. PA only (placebo)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−3.82 (20.10) [−0.30 (22.00)]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−0.39 (0.76) [−0.33 (0.74)]</w:t>
            </w:r>
          </w:p>
        </w:tc>
      </w:tr>
    </w:tbl>
    <w:p>
      <w:pPr>
        <w:pStyle w:val="BodyText"/>
      </w:pPr>
      <w:r>
        <w:rPr>
          <w:iCs/>
          <w:i/>
        </w:rPr>
        <w:t xml:space="preserve">(Paper values in brackets; rows 4 and 5 replicate exactly on all four columns.)</w:t>
      </w:r>
    </w:p>
    <w:p>
      <w:pPr>
        <w:pStyle w:val="BodyText"/>
      </w:pPr>
      <w:r>
        <w:t xml:space="preserve">The employment conclusion is insensitive to: treating temporarily closed stores as closed (row 2), the treatment of managers in the employment count (row 3), the part-time weight (rows 4–5), excluding seasonal shore stores (row 6), and sampling effort in wave 1 (row 8). Weighted by initial employment (row 9), the proportional NJ effect is 0.13 (SE 0.05) — a 13% relative increase, matching the paper exactly. The PA-only placebo (row 12) shows no spurious wage–employment relationship.</w:t>
      </w:r>
    </w:p>
    <w:bookmarkEnd w:id="46"/>
    <w:bookmarkStart w:id="47" w:name="limitations"/>
    <w:p>
      <w:pPr>
        <w:pStyle w:val="Heading2"/>
      </w:pPr>
      <w:r>
        <w:t xml:space="preserve">8. Limitations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Two-period design.</w:t>
      </w:r>
      <w:r>
        <w:t xml:space="preserve"> </w:t>
      </w:r>
      <w:r>
        <w:t xml:space="preserve">Only one pre-period exists, so parallel pre-trends cannot be tested directly; the paper’s argument rests on the similarity of wave-1 characteristics (Table 2) and on the within-NJ high-wage comparison (Table 3), both of which we confirm.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Small control group.</w:t>
      </w:r>
      <w:r>
        <w:t xml:space="preserve"> </w:t>
      </w:r>
      <w:r>
        <w:t xml:space="preserve">75 (or 72) Pennsylvania stores make inference sensitive; our randomization-inference and placebo checks bound this concern but cannot eliminate it.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Data-version differences.</w:t>
      </w:r>
      <w:r>
        <w:t xml:space="preserve"> </w:t>
      </w:r>
      <w:r>
        <w:t xml:space="preserve">Six NJ wage observations present in the authors’ data are absent from the public release, causing the small cell-level differences documented in Section 5.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Measurement error in the starting wage</w:t>
      </w:r>
      <w:r>
        <w:t xml:space="preserve"> </w:t>
      </w:r>
      <w:r>
        <w:t xml:space="preserve">is a real issue (the paper estimates a reliability ratio of 0.70 for FTE employment); it attenuates the GAP coefficient once region dummies are added, exactly as the paper predicts.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Generalizability.</w:t>
      </w:r>
      <w:r>
        <w:t xml:space="preserve"> </w:t>
      </w:r>
      <w:r>
        <w:t xml:space="preserve">The result concerns large franchised fast-food chains in a recession-year comparison; it says nothing directly about other industries, later minimum-wage episodes, or firm entry (the paper’s Table 8 addresses openings separately and is outside the replicated scope).</w:t>
      </w:r>
    </w:p>
    <w:bookmarkEnd w:id="47"/>
    <w:bookmarkStart w:id="48" w:name="conclusion"/>
    <w:p>
      <w:pPr>
        <w:pStyle w:val="Heading2"/>
      </w:pPr>
      <w:r>
        <w:t xml:space="preserve">9. Conclusion</w:t>
      </w:r>
    </w:p>
    <w:p>
      <w:pPr>
        <w:pStyle w:val="FirstParagraph"/>
      </w:pPr>
      <w:r>
        <w:t xml:space="preserve">Using the public Card–Krueger survey data, we reproduce Tables 2–4 and Figure 1 of Card and Krueger (1994) almost exactly: the two states were comparable before the policy; NJ wages jumped precisely to the new $5.05 floor; and FTE employment rose by 2.75 workers (13%)</w:t>
      </w:r>
      <w:r>
        <w:t xml:space="preserve"> </w:t>
      </w:r>
      <w:r>
        <w:rPr>
          <w:iCs/>
          <w:i/>
        </w:rPr>
        <w:t xml:space="preserve">relative to</w:t>
      </w:r>
      <w:r>
        <w:t xml:space="preserve"> </w:t>
      </w:r>
      <w:r>
        <w:t xml:space="preserve">Pennsylvania in the eight months after the increase, with the gains concentrated in the low-wage stores that the mandate actually bound. Regression-adjusted estimates (NJ dummy 2.30–2.33; GAP 14.9–15.7) and a battery of specification tests are quantitatively stable. Our extension shows that the effect is broad-based across ownership types and chains (no significant heterogeneity, with a suggestive negative KFC point estimate), that the headline inference survives exact randomization inference (permutation p = 0.018), and that placebo tests within Pennsylvania find no spurious wage–employment relationship. The replication therefore stands as a robust counter-example to the competitive-model prediction that the minimum wage necessarily reduces establishment employment — consistent with monopsonistic or job-search labour markets in which a modest minimum wage can raise both wages and employment.</w:t>
      </w:r>
    </w:p>
    <w:p>
      <w:r>
        <w:pict>
          <v:rect style="width:0;height:1.5pt" o:hralign="center" o:hrstd="t" o:hr="t"/>
        </w:pict>
      </w:r>
    </w:p>
    <w:bookmarkEnd w:id="48"/>
    <w:bookmarkStart w:id="49" w:name="appendix-a.-reproducibility-checklist"/>
    <w:p>
      <w:pPr>
        <w:pStyle w:val="Heading2"/>
      </w:pPr>
      <w:r>
        <w:t xml:space="preserve">Appendix A. Reproducibility checklist</w:t>
      </w:r>
    </w:p>
    <w:p>
      <w:pPr>
        <w:numPr>
          <w:ilvl w:val="0"/>
          <w:numId w:val="1008"/>
        </w:numPr>
        <w:pStyle w:val="Compact"/>
      </w:pPr>
      <w:r>
        <w:t xml:space="preserve">☒ Raw input:</w:t>
      </w:r>
      <w:r>
        <w:t xml:space="preserve"> </w:t>
      </w:r>
      <w:r>
        <w:rPr>
          <w:rStyle w:val="VerbatimChar"/>
        </w:rPr>
        <w:t xml:space="preserve">data/raw/public.csv</w:t>
      </w:r>
      <w:r>
        <w:t xml:space="preserve"> </w:t>
      </w:r>
      <w:r>
        <w:t xml:space="preserve">(410 stores) — unchanged from the course package.</w:t>
      </w:r>
    </w:p>
    <w:p>
      <w:pPr>
        <w:numPr>
          <w:ilvl w:val="0"/>
          <w:numId w:val="1008"/>
        </w:numPr>
        <w:pStyle w:val="Compact"/>
      </w:pPr>
      <w:r>
        <w:t xml:space="preserve">☒ Processed data:</w:t>
      </w:r>
      <w:r>
        <w:t xml:space="preserve"> </w:t>
      </w:r>
      <w:r>
        <w:rPr>
          <w:rStyle w:val="VerbatimChar"/>
        </w:rPr>
        <w:t xml:space="preserve">data/processed/ck94_clean.csv</w:t>
      </w:r>
      <w:r>
        <w:t xml:space="preserve"> </w:t>
      </w:r>
      <w:r>
        <w:t xml:space="preserve">generated by</w:t>
      </w:r>
      <w:r>
        <w:t xml:space="preserve"> </w:t>
      </w:r>
      <w:r>
        <w:rPr>
          <w:rStyle w:val="VerbatimChar"/>
        </w:rPr>
        <w:t xml:space="preserve">01_clean_data.py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☒ All tables:</w:t>
      </w:r>
      <w:r>
        <w:t xml:space="preserve"> </w:t>
      </w:r>
      <w:r>
        <w:rPr>
          <w:rStyle w:val="VerbatimChar"/>
        </w:rPr>
        <w:t xml:space="preserve">outputs/tables/*.csv</w:t>
      </w:r>
      <w:r>
        <w:t xml:space="preserve">; all figures:</w:t>
      </w:r>
      <w:r>
        <w:t xml:space="preserve"> </w:t>
      </w:r>
      <w:r>
        <w:rPr>
          <w:rStyle w:val="VerbatimChar"/>
        </w:rPr>
        <w:t xml:space="preserve">outputs/figures/*.png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☒ One command reproduces everything:</w:t>
      </w:r>
      <w:r>
        <w:t xml:space="preserve"> </w:t>
      </w:r>
      <w:r>
        <w:rPr>
          <w:rStyle w:val="VerbatimChar"/>
        </w:rPr>
        <w:t xml:space="preserve">python3 code/run_all.py</w:t>
      </w:r>
      <w:r>
        <w:t xml:space="preserve"> </w:t>
      </w:r>
      <w:r>
        <w:t xml:space="preserve">(Python 3.12, pandas 2.2, numpy 1.26, statsmodels 0.15, matplotlib, scipy).</w:t>
      </w:r>
    </w:p>
    <w:p>
      <w:pPr>
        <w:numPr>
          <w:ilvl w:val="0"/>
          <w:numId w:val="1008"/>
        </w:numPr>
        <w:pStyle w:val="Compact"/>
      </w:pPr>
      <w:r>
        <w:t xml:space="preserve">☒ Git history records meaningful stages (data → cleaning → tables → figure → extension → report).</w:t>
      </w:r>
    </w:p>
    <w:bookmarkEnd w:id="49"/>
    <w:bookmarkStart w:id="50" w:name="X314faf2714f6d1aaa6df752e4d708f2746663aa"/>
    <w:p>
      <w:pPr>
        <w:pStyle w:val="Heading2"/>
      </w:pPr>
      <w:r>
        <w:t xml:space="preserve">Appendix B. Data dictionary (public.csv → analysis variables)</w:t>
      </w:r>
    </w:p>
    <w:tbl>
      <w:tblPr>
        <w:tblStyle w:val="Table"/>
        <w:tblW w:type="pct" w:w="5000"/>
        <w:jc w:val="star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= New Jersey, 0 = Pennsylvania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= Burger King, 2 = KFC, 3 = Roy Rogers, 4 = Wendy’s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CO_OWNED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= company-owned, 0 = franchise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SOUTHJ, CENTRALJ, NORTHJ, SHORE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NJ region dummies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PA1, PA2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 region dummies (Allentown–Easton; Philadelphia suburbs)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NCALLS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of call-backs needed for the wave-1 interview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EMPFT, EMPPT, NMGRS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wave-1 full-time, part-time, managers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WAGE_ST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wave-1 starting wage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BONUS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recruiting bonus offered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HRSOPEN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weekday hours open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PSODA, PFRY, PENTREE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prices: medium soda, small fries, entrée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wave-2 status: 1 open, 3 permanently closed, 2 temporarily closed, 4/5 under renovation, 0 refusal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EMPFT2, EMPPT2, NMGRS2, WAGE_ST2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wave-2 counterparts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FTE1 / FTE2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FTE employment = EMPFT + 0.5·EMPPT + NMGRS (wave-2 closed = 0)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dFTE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FTE2 − FTE1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(5.05 − W₁)/W₁ for NJ, W₁ &lt; 5.05; 0 otherwise</w:t>
            </w:r>
          </w:p>
        </w:tc>
      </w:tr>
    </w:tbl>
    <w:bookmarkEnd w:id="50"/>
    <w:bookmarkStart w:id="51" w:name="appendix-c.-references"/>
    <w:p>
      <w:pPr>
        <w:pStyle w:val="Heading2"/>
      </w:pPr>
      <w:r>
        <w:t xml:space="preserve">Appendix C. References</w:t>
      </w:r>
    </w:p>
    <w:p>
      <w:pPr>
        <w:numPr>
          <w:ilvl w:val="0"/>
          <w:numId w:val="1009"/>
        </w:numPr>
        <w:pStyle w:val="Compact"/>
      </w:pPr>
      <w:r>
        <w:t xml:space="preserve">Card, D., &amp; Krueger, A. B. (1994). Minimum Wages and Employment: A Case Study of the Fast-Food Industry in New Jersey and Pennsylvania.</w:t>
      </w:r>
      <w:r>
        <w:t xml:space="preserve"> </w:t>
      </w:r>
      <w:r>
        <w:rPr>
          <w:iCs/>
          <w:i/>
        </w:rPr>
        <w:t xml:space="preserve">American Economic Review</w:t>
      </w:r>
      <w:r>
        <w:t xml:space="preserve">, 84(4), 772–793.</w:t>
      </w:r>
    </w:p>
    <w:p>
      <w:pPr>
        <w:numPr>
          <w:ilvl w:val="0"/>
          <w:numId w:val="1009"/>
        </w:numPr>
        <w:pStyle w:val="Compact"/>
      </w:pPr>
      <w:r>
        <w:t xml:space="preserve">Stigler, G. J. (1946). The Economics of Minimum Wage Legislation.</w:t>
      </w:r>
      <w:r>
        <w:t xml:space="preserve"> </w:t>
      </w:r>
      <w:r>
        <w:rPr>
          <w:iCs/>
          <w:i/>
        </w:rPr>
        <w:t xml:space="preserve">American Economic Review</w:t>
      </w:r>
      <w:r>
        <w:t xml:space="preserve">, 36(3), 358–365.</w:t>
      </w:r>
    </w:p>
    <w:p>
      <w:pPr>
        <w:numPr>
          <w:ilvl w:val="0"/>
          <w:numId w:val="1009"/>
        </w:numPr>
        <w:pStyle w:val="Compact"/>
      </w:pPr>
      <w:r>
        <w:t xml:space="preserve">Katz, L. F., &amp; Krueger, A. B. (1992). The Effect of the Minimum Wage on the Fast-Food Industry.</w:t>
      </w:r>
      <w:r>
        <w:t xml:space="preserve"> </w:t>
      </w:r>
      <w:r>
        <w:rPr>
          <w:iCs/>
          <w:i/>
        </w:rPr>
        <w:t xml:space="preserve">ILR Review</w:t>
      </w:r>
      <w:r>
        <w:t xml:space="preserve">, 46(1), 6–21.</w:t>
      </w:r>
    </w:p>
    <w:bookmarkEnd w:id="51"/>
    <w:bookmarkEnd w:id="52"/>
    <w:sectPr>
      <w:pgSz w:h="16838" w:w="11906"/>
      <w:pgMar w:bottom="1417" w:footer="992" w:gutter="0" w:header="851" w:left="1417" w:right="1417" w:top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cs="Times New Roman" w:eastAsia="Times New Roman" w:hAnsi="Times New Roman"/>
      <w:sz w:val="24"/>
      <w:szCs w:val="24"/>
      <w:b w:val="0"/>
      <w:color w:val="000000"/>
    </w:rPr>
    <w:pPr>
      <w:spacing w:after="0" w:before="0" w:line="360" w:lineRule="auto"/>
      <w:jc w:val="both"/>
      <w:ind w:firstLine="0"/>
    </w:p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0" w:before="0" w:line="240" w:lineRule="auto"/>
      <w:ind w:firstLine="0"/>
    </w:pPr>
    <w:rPr>
      <w:rFonts w:ascii="Times New Roman" w:cs="Times New Roman" w:eastAsia="Times New Roman" w:hAnsi="Times New Roman"/>
      <w:sz w:val="21"/>
      <w:szCs w:val="21"/>
      <w:b w:val="0"/>
      <w:color w:val="000000"/>
    </w:rPr>
  </w:style>
  <w:style w:styleId="Title" w:type="paragraph">
    <w:name w:val="Title"/>
    <w:basedOn w:val="Normal"/>
    <w:next w:val="BodyText"/>
    <w:qFormat/>
    <w:pPr>
      <w:keepNext/>
      <w:keepLines/>
      <w:spacing w:after="360" w:before="0" w:line="360" w:lineRule="auto"/>
      <w:jc w:val="center"/>
      <w:ind w:firstLine="0"/>
    </w:pPr>
    <w:rPr>
      <w:rFonts w:ascii="Times New Roman" w:cs="Times New Roman" w:eastAsia="Times New Roman" w:hAnsi="Times New Roman"/>
      <w:b w:val="1"/>
      <w:bCs/>
      <w:color w:themeColor="accent1" w:themeShade="B5" w:val="000000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20" w:before="240" w:line="360" w:lineRule="auto"/>
      <w:outlineLvl w:val="0"/>
      <w:ind w:firstLine="0"/>
    </w:pPr>
    <w:rPr>
      <w:rFonts w:ascii="Times New Roman" w:cs="Times New Roman" w:eastAsia="Times New Roman" w:hAnsi="Times New Roman"/>
      <w:b w:val="1"/>
      <w:bCs/>
      <w:color w:themeColor="accent1" w:val="00000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40" w:line="360" w:lineRule="auto"/>
      <w:outlineLvl w:val="1"/>
      <w:ind w:firstLine="0"/>
    </w:pPr>
    <w:rPr>
      <w:rFonts w:ascii="Times New Roman" w:cs="Times New Roman" w:eastAsia="Times New Roman" w:hAnsi="Times New Roman"/>
      <w:b w:val="1"/>
      <w:bCs/>
      <w:color w:themeColor="accent1" w:val="000000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20" w:before="240" w:line="360" w:lineRule="auto"/>
      <w:outlineLvl w:val="2"/>
      <w:ind w:firstLine="0"/>
    </w:pPr>
    <w:rPr>
      <w:rFonts w:ascii="Times New Roman" w:cs="Times New Roman" w:eastAsia="Times New Roman" w:hAnsi="Times New Roman"/>
      <w:b w:val="1"/>
      <w:bCs/>
      <w:color w:themeColor="accent1" w:val="000000"/>
      <w:sz w:val="26"/>
      <w:szCs w:val="26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  <w:rPr>
      <w:rFonts w:ascii="Times New Roman" w:cs="Times New Roman" w:eastAsia="Times New Roman" w:hAnsi="Times New Roman"/>
      <w:sz w:val="21"/>
      <w:szCs w:val="21"/>
      <w:b w:val="0"/>
      <w:color w:val="000000"/>
    </w:rPr>
    <w:pPr>
      <w:spacing w:after="0" w:before="0" w:line="240" w:lineRule="auto"/>
      <w:ind w:firstLine="0"/>
    </w:p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2026-10-18T14:13:01Z</dcterms:created>
  <dcterms:modified xsi:type="dcterms:W3CDTF">2026-10-18T14:13:01Z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