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370C2D36"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firstLine="720" w:left="1440"/>
        <w:jc w:val="both"/>
        <w:rPr>
          <w:rFonts w:ascii="Arial" w:hAnsi="Arial"/>
          <w:b w:val="1"/>
          <w:sz w:val="32"/>
        </w:rPr>
      </w:pPr>
      <w:r>
        <w:rPr>
          <w:rFonts w:ascii="Arial" w:hAnsi="Arial"/>
          <w:b w:val="1"/>
          <w:sz w:val="32"/>
        </w:rPr>
        <w:t xml:space="preserve">CORNERSTONE INSURANCE PLC   </w:t>
      </w:r>
    </w:p>
    <w:p>
      <w:pPr>
        <w:jc w:val="both"/>
      </w:pPr>
    </w:p>
    <w:p>
      <w:pPr>
        <w:jc w:val="both"/>
        <w:rPr>
          <w:rFonts w:ascii="Arial" w:hAnsi="Arial"/>
          <w:b w:val="1"/>
        </w:rPr>
      </w:pPr>
      <w:r>
        <w:rPr>
          <w:rFonts w:ascii="Arial" w:hAnsi="Arial"/>
          <w:b w:val="1"/>
        </w:rPr>
        <w:t>ENDORSEMENT NO. P/102/1002/2016/00026/021 ATTACHING TO &amp; FORMING PART OF PRIVATE MOTOR VEHICLE COMPREHENSIVE POLICY NO. P/102/1002/2016/00026 IN THE NAME OF MATRIX ENERGY LIMITED.</w:t>
      </w:r>
    </w:p>
    <w:p>
      <w:pPr>
        <w:jc w:val="both"/>
      </w:pPr>
    </w:p>
    <w:p>
      <w:pPr>
        <w:jc w:val="both"/>
        <w:rPr>
          <w:rFonts w:ascii="Arial" w:hAnsi="Arial"/>
        </w:rPr>
      </w:pPr>
      <w:r>
        <w:rPr>
          <w:rFonts w:ascii="Arial" w:hAnsi="Arial"/>
        </w:rPr>
        <w:t>Notwithstanding Anything Contained Herein To The Contrary, It Is Hereby Declared And Agreed That With Effect From January 09, 2018 The Below Listed Vehicles Are Hereby Added To The Schedule Of The Within Policy Up To To June 17, 2018 On The Below Basis As Follows:</w:t>
      </w:r>
    </w:p>
    <w:p>
      <w:pPr>
        <w:jc w:val="both"/>
      </w:pPr>
    </w:p>
    <w:tbl>
      <w:tblPr>
        <w:tblW w:w="0" w:type="auto"/>
        <w:tblInd w:w="0" w:type="dxa"/>
      </w:tblPr>
      <w:tblGrid/>
      <w:tr>
        <w:trPr>
          <w:wBefore w:w="0" w:type="dxa"/>
          <w:wAfter w:w="0" w:type="dxa"/>
        </w:trPr>
        <w:tc>
          <w:tcPr>
            <w:tcW w:w="73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tabs>
                <w:tab w:val="left" w:pos="630" w:leader="none"/>
                <w:tab w:val="left" w:pos="2715" w:leader="none"/>
              </w:tabs>
              <w:jc w:val="both"/>
              <w:rPr>
                <w:rFonts w:ascii="Arial" w:hAnsi="Arial"/>
                <w:b w:val="1"/>
              </w:rPr>
            </w:pPr>
            <w:r>
              <w:rPr>
                <w:rFonts w:ascii="Arial" w:hAnsi="Arial"/>
                <w:b w:val="1"/>
              </w:rPr>
              <w:t>S/N</w:t>
            </w:r>
          </w:p>
        </w:tc>
        <w:tc>
          <w:tcPr>
            <w:tcW w:w="2012"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b w:val="1"/>
              </w:rPr>
            </w:pPr>
            <w:r>
              <w:rPr>
                <w:rFonts w:ascii="Arial" w:hAnsi="Arial"/>
                <w:b w:val="1"/>
              </w:rPr>
              <w:t xml:space="preserve">MAKE </w:t>
            </w:r>
          </w:p>
        </w:tc>
        <w:tc>
          <w:tcPr>
            <w:tcW w:w="1357"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b w:val="1"/>
              </w:rPr>
            </w:pPr>
            <w:r>
              <w:rPr>
                <w:rFonts w:ascii="Arial" w:hAnsi="Arial"/>
                <w:b w:val="1"/>
              </w:rPr>
              <w:t xml:space="preserve">REG NO </w:t>
            </w:r>
          </w:p>
        </w:tc>
        <w:tc>
          <w:tcPr>
            <w:tcW w:w="1589"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b w:val="1"/>
              </w:rPr>
            </w:pPr>
            <w:r>
              <w:rPr>
                <w:rFonts w:ascii="Arial" w:hAnsi="Arial"/>
                <w:b w:val="1"/>
              </w:rPr>
              <w:t xml:space="preserve">SUM INSURED </w:t>
            </w:r>
          </w:p>
        </w:tc>
        <w:tc>
          <w:tcPr>
            <w:tcW w:w="2245"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b w:val="1"/>
              </w:rPr>
            </w:pPr>
            <w:r>
              <w:rPr>
                <w:rFonts w:ascii="Arial" w:hAnsi="Arial"/>
                <w:b w:val="1"/>
              </w:rPr>
              <w:t>COVER TYPE</w:t>
            </w:r>
          </w:p>
        </w:tc>
        <w:tc>
          <w:tcPr>
            <w:tcW w:w="1083"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b w:val="1"/>
              </w:rPr>
            </w:pPr>
            <w:r>
              <w:rPr>
                <w:rFonts w:ascii="Arial" w:hAnsi="Arial"/>
                <w:b w:val="1"/>
              </w:rPr>
              <w:t>NO. OF DAYS</w:t>
            </w:r>
          </w:p>
        </w:tc>
      </w:tr>
      <w:tr>
        <w:trPr>
          <w:wBefore w:w="0" w:type="dxa"/>
          <w:wAfter w:w="0" w:type="dxa"/>
        </w:trPr>
        <w:tc>
          <w:tcPr>
            <w:tcW w:w="730" w:type="dxa"/>
            <w:tcBorders>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rPr>
            </w:pPr>
            <w:r>
              <w:rPr>
                <w:rFonts w:ascii="Arial" w:hAnsi="Arial"/>
              </w:rPr>
              <w:t>1</w:t>
            </w:r>
          </w:p>
        </w:tc>
        <w:tc>
          <w:tcPr>
            <w:tcW w:w="2012"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rPr>
            </w:pPr>
            <w:r>
              <w:rPr>
                <w:rFonts w:ascii="Arial" w:hAnsi="Arial"/>
              </w:rPr>
              <w:t>TOYOTA SIENNA</w:t>
            </w:r>
          </w:p>
        </w:tc>
        <w:tc>
          <w:tcPr>
            <w:tcW w:w="1357"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rPr>
            </w:pPr>
            <w:r>
              <w:rPr>
                <w:rFonts w:ascii="Arial" w:hAnsi="Arial"/>
              </w:rPr>
              <w:t>GGE126EZ</w:t>
            </w:r>
          </w:p>
        </w:tc>
        <w:tc>
          <w:tcPr>
            <w:tcW w:w="1589"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rPr>
            </w:pPr>
            <w:r>
              <w:rPr>
                <w:rFonts w:ascii="Arial" w:hAnsi="Arial"/>
              </w:rPr>
              <w:t xml:space="preserve">    3,500,000.00 </w:t>
            </w:r>
          </w:p>
        </w:tc>
        <w:tc>
          <w:tcPr>
            <w:tcW w:w="2245"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rPr>
            </w:pPr>
            <w:r>
              <w:rPr>
                <w:rFonts w:ascii="Arial" w:hAnsi="Arial"/>
              </w:rPr>
              <w:t>COMPREHENSIVE</w:t>
            </w:r>
          </w:p>
        </w:tc>
        <w:tc>
          <w:tcPr>
            <w:tcW w:w="1083"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jc w:val="both"/>
              <w:rPr>
                <w:rFonts w:ascii="Arial" w:hAnsi="Arial"/>
              </w:rPr>
            </w:pPr>
            <w:r>
              <w:rPr>
                <w:rFonts w:ascii="Arial" w:hAnsi="Arial"/>
              </w:rPr>
              <w:t>160</w:t>
            </w:r>
          </w:p>
        </w:tc>
      </w:tr>
    </w:tbl>
    <w:p>
      <w:pPr>
        <w:jc w:val="both"/>
      </w:pPr>
    </w:p>
    <w:p>
      <w:pPr>
        <w:jc w:val="both"/>
        <w:rPr>
          <w:rFonts w:ascii="Arial" w:hAnsi="Arial"/>
          <w:b w:val="1"/>
          <w:i w:val="1"/>
        </w:rPr>
      </w:pPr>
      <w:r>
        <w:rPr>
          <w:rFonts w:ascii="Arial" w:hAnsi="Arial"/>
          <w:b w:val="1"/>
          <w:i w:val="1"/>
        </w:rPr>
        <w:t>In Consideration Thereof, An Additional Premium Of =N=42,191.78 Is Due From The</w:t>
      </w:r>
    </w:p>
    <w:p>
      <w:pPr>
        <w:jc w:val="both"/>
        <w:rPr>
          <w:rFonts w:ascii="Arial" w:hAnsi="Arial"/>
          <w:b w:val="1"/>
          <w:i w:val="1"/>
        </w:rPr>
      </w:pPr>
      <w:r>
        <w:rPr>
          <w:rFonts w:ascii="Arial" w:hAnsi="Arial"/>
          <w:b w:val="1"/>
          <w:i w:val="1"/>
        </w:rPr>
        <w:t>Insured.</w:t>
      </w:r>
    </w:p>
    <w:p>
      <w:pPr>
        <w:jc w:val="both"/>
      </w:pPr>
    </w:p>
    <w:p>
      <w:pPr>
        <w:jc w:val="both"/>
        <w:rPr>
          <w:rFonts w:ascii="Arial" w:hAnsi="Arial"/>
        </w:rPr>
      </w:pPr>
      <w:r>
        <w:rPr>
          <w:rFonts w:ascii="Arial" w:hAnsi="Arial"/>
        </w:rPr>
        <w:t>Furthermore, The Amount Of Excess Applicable To The Said Vehicle Shall Read Thus:</w:t>
      </w:r>
    </w:p>
    <w:p>
      <w:pPr>
        <w:jc w:val="both"/>
      </w:pPr>
    </w:p>
    <w:p>
      <w:pPr>
        <w:jc w:val="both"/>
        <w:rPr>
          <w:rFonts w:ascii="Arial" w:hAnsi="Arial"/>
        </w:rPr>
      </w:pPr>
      <w:r>
        <w:rPr>
          <w:rFonts w:ascii="Arial" w:hAnsi="Arial"/>
        </w:rPr>
        <w:t>Excess: Bought Back</w:t>
      </w:r>
    </w:p>
    <w:p>
      <w:pPr>
        <w:jc w:val="both"/>
      </w:pPr>
    </w:p>
    <w:p>
      <w:pPr>
        <w:jc w:val="both"/>
        <w:rPr>
          <w:rFonts w:ascii="Arial" w:hAnsi="Arial"/>
          <w:b w:val="1"/>
        </w:rPr>
      </w:pPr>
      <w:r>
        <w:rPr>
          <w:rFonts w:ascii="Arial" w:hAnsi="Arial"/>
          <w:b w:val="1"/>
        </w:rPr>
        <w:t>Depreciation Clause (Private):</w:t>
      </w:r>
    </w:p>
    <w:p>
      <w:pPr>
        <w:jc w:val="both"/>
      </w:pPr>
    </w:p>
    <w:p>
      <w:pPr>
        <w:jc w:val="both"/>
        <w:rPr>
          <w:rFonts w:ascii="Arial" w:hAnsi="Arial"/>
        </w:rPr>
      </w:pPr>
      <w:r>
        <w:rPr>
          <w:rFonts w:ascii="Arial" w:hAnsi="Arial"/>
        </w:rPr>
        <w:t>In The Event Of A Total Loss Claim, It Is Agreed That 10% Depreciation Rate Shall Apply To The Insured Value During The Period Of Insurance Which The Claim Shall Have Occurred.</w:t>
      </w:r>
    </w:p>
    <w:p>
      <w:pPr>
        <w:jc w:val="both"/>
      </w:pPr>
    </w:p>
    <w:p>
      <w:pPr>
        <w:jc w:val="both"/>
        <w:rPr>
          <w:rFonts w:ascii="Arial" w:hAnsi="Arial"/>
        </w:rPr>
      </w:pPr>
      <w:r>
        <w:rPr>
          <w:rFonts w:ascii="Arial" w:hAnsi="Arial"/>
        </w:rPr>
        <w:t>Subject Otherwise To The Terms, Conditions And Exceptions Of The Policy.</w:t>
      </w:r>
    </w:p>
    <w:p>
      <w:pPr>
        <w:jc w:val="both"/>
      </w:pPr>
    </w:p>
    <w:p>
      <w:pPr>
        <w:jc w:val="both"/>
        <w:rPr>
          <w:rFonts w:ascii="Arial" w:hAnsi="Arial"/>
        </w:rPr>
      </w:pPr>
      <w:r>
        <w:rPr>
          <w:rFonts w:ascii="Arial" w:hAnsi="Arial"/>
        </w:rPr>
        <w:t>Entered in our books this 9th day of Jan, 2018</w:t>
      </w:r>
    </w:p>
    <w:p>
      <w:pPr>
        <w:jc w:val="both"/>
      </w:pPr>
    </w:p>
    <w:p>
      <w:pPr>
        <w:jc w:val="both"/>
      </w:pPr>
    </w:p>
    <w:p>
      <w:pPr>
        <w:jc w:val="both"/>
      </w:pPr>
    </w:p>
    <w:p>
      <w:pPr>
        <w:jc w:val="both"/>
      </w:pPr>
    </w:p>
    <w:p>
      <w:pPr>
        <w:jc w:val="both"/>
        <w:rPr>
          <w:rFonts w:ascii="Arial" w:hAnsi="Arial"/>
        </w:rPr>
      </w:pPr>
      <w:r>
        <w:rPr>
          <w:rFonts w:ascii="Arial" w:hAnsi="Arial"/>
        </w:rPr>
        <w:t>EXAMINED BY: AAD                                                 --------------------------------------------------</w:t>
      </w:r>
    </w:p>
    <w:p>
      <w:pPr>
        <w:ind w:left="4320"/>
        <w:jc w:val="both"/>
      </w:pPr>
      <w:r>
        <w:rPr>
          <w:rFonts w:ascii="Arial" w:hAnsi="Arial"/>
        </w:rPr>
        <w:t>           For: CORNERSTONE INSURANCE PLC</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