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1D8DC471"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firstLine="720" w:left="1440"/>
        <w:rPr>
          <w:rFonts w:ascii="Arial" w:hAnsi="Arial"/>
          <w:b w:val="1"/>
          <w:color w:val="000000"/>
          <w:sz w:val="32"/>
        </w:rPr>
      </w:pPr>
    </w:p>
    <w:p>
      <w:pPr>
        <w:ind w:firstLine="720" w:left="1440"/>
        <w:rPr>
          <w:rFonts w:ascii="Arial" w:hAnsi="Arial"/>
          <w:b w:val="1"/>
          <w:color w:val="000000"/>
          <w:sz w:val="32"/>
        </w:rPr>
      </w:pPr>
    </w:p>
    <w:p>
      <w:pPr>
        <w:ind w:firstLine="720" w:left="1440"/>
        <w:rPr>
          <w:rFonts w:ascii="Arial" w:hAnsi="Arial"/>
          <w:b w:val="1"/>
          <w:color w:val="000000"/>
          <w:sz w:val="32"/>
        </w:rPr>
      </w:pPr>
      <w:r>
        <w:rPr>
          <w:rFonts w:ascii="Arial" w:hAnsi="Arial"/>
          <w:b w:val="1"/>
          <w:color w:val="000000"/>
          <w:sz w:val="32"/>
        </w:rPr>
        <w:t xml:space="preserve">CORNERSTONE INSURANCE PLC   </w:t>
      </w:r>
    </w:p>
    <w:p>
      <w:pPr>
        <w:jc w:val="both"/>
        <w:rPr>
          <w:rFonts w:ascii="Arial" w:hAnsi="Arial"/>
        </w:rPr>
      </w:pPr>
    </w:p>
    <w:p>
      <w:pPr>
        <w:jc w:val="both"/>
        <w:rPr>
          <w:rFonts w:ascii="Arial" w:hAnsi="Arial"/>
          <w:b w:val="1"/>
          <w:color w:val="000000"/>
        </w:rPr>
      </w:pPr>
      <w:r>
        <w:rPr>
          <w:rFonts w:ascii="Arial" w:hAnsi="Arial"/>
          <w:b w:val="1"/>
          <w:color w:val="000000"/>
        </w:rPr>
        <w:t>ENDORSEMENT NO P/102/4000/2019/00020/001  ATTACHING TO AND FORMING PART OF MARINE INSURANCE POLICY NO P/102/4000/2019/00020 IN THE NAME OF AGRAZO NIGERIA LTD </w:t>
      </w:r>
    </w:p>
    <w:p>
      <w:pPr>
        <w:jc w:val="both"/>
        <w:rPr>
          <w:rFonts w:ascii="Arial" w:hAnsi="Arial"/>
        </w:rPr>
      </w:pPr>
    </w:p>
    <w:p>
      <w:pPr>
        <w:jc w:val="both"/>
        <w:rPr>
          <w:rFonts w:ascii="Arial" w:hAnsi="Arial"/>
          <w:color w:val="000000"/>
        </w:rPr>
      </w:pPr>
      <w:r>
        <w:rPr>
          <w:rFonts w:ascii="Arial" w:hAnsi="Arial"/>
          <w:color w:val="000000"/>
        </w:rPr>
        <w:t xml:space="preserve">Notwithstanding anything contained herein to the contrary it is hereby declared and agreed that the sum insured on the on this policy is hereby increased due to the bank increasing the exchange rate from </w:t>
      </w:r>
      <w:r>
        <w:rPr>
          <w:rFonts w:ascii="Arial" w:hAnsi="Arial"/>
          <w:b w:val="1"/>
          <w:color w:val="000000"/>
        </w:rPr>
        <w:t>N305</w:t>
      </w:r>
      <w:r>
        <w:rPr>
          <w:rFonts w:ascii="Arial" w:hAnsi="Arial"/>
          <w:color w:val="000000"/>
        </w:rPr>
        <w:t xml:space="preserve"> to </w:t>
      </w:r>
      <w:r>
        <w:rPr>
          <w:rFonts w:ascii="Arial" w:hAnsi="Arial"/>
          <w:b w:val="1"/>
          <w:color w:val="000000"/>
        </w:rPr>
        <w:t>N326</w:t>
      </w:r>
      <w:r>
        <w:rPr>
          <w:rFonts w:ascii="Arial" w:hAnsi="Arial"/>
          <w:color w:val="000000"/>
        </w:rPr>
        <w:t xml:space="preserve"> with effect  from </w:t>
      </w:r>
      <w:r>
        <w:rPr>
          <w:rFonts w:ascii="Arial" w:hAnsi="Arial"/>
          <w:b w:val="1"/>
          <w:color w:val="000000"/>
        </w:rPr>
        <w:t>16-Jul-2019 </w:t>
      </w:r>
      <w:r>
        <w:rPr>
          <w:rFonts w:ascii="Arial" w:hAnsi="Arial"/>
          <w:color w:val="000000"/>
        </w:rPr>
        <w:t xml:space="preserve">to </w:t>
      </w:r>
      <w:r>
        <w:rPr>
          <w:rFonts w:ascii="Arial" w:hAnsi="Arial"/>
          <w:b w:val="1"/>
          <w:color w:val="000000"/>
        </w:rPr>
        <w:t>15-Jan-2020 </w:t>
      </w:r>
      <w:r>
        <w:rPr>
          <w:rFonts w:ascii="Arial" w:hAnsi="Arial"/>
          <w:color w:val="000000"/>
        </w:rPr>
        <w:t>on an existing  basis as stated hereunder:</w:t>
      </w:r>
    </w:p>
    <w:p>
      <w:pPr>
        <w:jc w:val="both"/>
        <w:rPr>
          <w:rFonts w:ascii="Arial" w:hAnsi="Arial"/>
        </w:rPr>
      </w:pPr>
    </w:p>
    <w:p>
      <w:pPr>
        <w:jc w:val="both"/>
        <w:rPr>
          <w:rFonts w:ascii="Arial" w:hAnsi="Arial"/>
        </w:rPr>
      </w:pPr>
    </w:p>
    <w:tbl>
      <w:tblPr>
        <w:tblW w:w="0" w:type="auto"/>
        <w:tblInd w:w="0" w:type="dxa"/>
      </w:tblPr>
      <w:tblGrid/>
      <w:tr>
        <w:trPr>
          <w:wBefore w:w="0" w:type="dxa"/>
          <w:wAfter w:w="0" w:type="dxa"/>
        </w:trPr>
        <w:tc>
          <w:tcPr>
            <w:tcW w:w="1207"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b w:val="1"/>
                <w:color w:val="000000"/>
                <w:sz w:val="20"/>
              </w:rPr>
            </w:pPr>
            <w:r>
              <w:rPr>
                <w:rFonts w:ascii="Arial" w:hAnsi="Arial"/>
                <w:b w:val="1"/>
                <w:color w:val="000000"/>
                <w:sz w:val="20"/>
              </w:rPr>
              <w:t>CLASS</w:t>
            </w:r>
          </w:p>
        </w:tc>
        <w:tc>
          <w:tcPr>
            <w:tcW w:w="1195"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b w:val="1"/>
                <w:color w:val="000000"/>
                <w:sz w:val="20"/>
              </w:rPr>
            </w:pPr>
            <w:r>
              <w:rPr>
                <w:rFonts w:ascii="Arial" w:hAnsi="Arial"/>
                <w:b w:val="1"/>
                <w:color w:val="000000"/>
                <w:sz w:val="20"/>
              </w:rPr>
              <w:t>VALUE</w:t>
            </w:r>
          </w:p>
        </w:tc>
        <w:tc>
          <w:tcPr>
            <w:tcW w:w="1463"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b w:val="1"/>
                <w:color w:val="000000"/>
                <w:sz w:val="20"/>
              </w:rPr>
            </w:pPr>
            <w:r>
              <w:rPr>
                <w:rFonts w:ascii="Arial" w:hAnsi="Arial"/>
                <w:b w:val="1"/>
                <w:color w:val="000000"/>
                <w:sz w:val="20"/>
              </w:rPr>
              <w:t>EXCHANGE RATE</w:t>
            </w:r>
          </w:p>
        </w:tc>
        <w:tc>
          <w:tcPr>
            <w:tcW w:w="1231"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b w:val="1"/>
                <w:color w:val="000000"/>
                <w:sz w:val="20"/>
              </w:rPr>
            </w:pPr>
            <w:r>
              <w:rPr>
                <w:rFonts w:ascii="Arial" w:hAnsi="Arial"/>
                <w:b w:val="1"/>
                <w:color w:val="000000"/>
                <w:sz w:val="20"/>
              </w:rPr>
              <w:t>LOADING</w:t>
            </w:r>
          </w:p>
        </w:tc>
        <w:tc>
          <w:tcPr>
            <w:tcW w:w="1720"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b w:val="1"/>
                <w:color w:val="000000"/>
                <w:sz w:val="20"/>
              </w:rPr>
            </w:pPr>
            <w:r>
              <w:rPr>
                <w:rFonts w:ascii="Arial" w:hAnsi="Arial"/>
                <w:b w:val="1"/>
                <w:color w:val="000000"/>
                <w:sz w:val="20"/>
              </w:rPr>
              <w:t>SUM INSURED</w:t>
            </w:r>
          </w:p>
        </w:tc>
        <w:tc>
          <w:tcPr>
            <w:tcW w:w="840"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b w:val="1"/>
                <w:color w:val="000000"/>
                <w:sz w:val="20"/>
              </w:rPr>
            </w:pPr>
            <w:r>
              <w:rPr>
                <w:rFonts w:ascii="Arial" w:hAnsi="Arial"/>
                <w:b w:val="1"/>
                <w:color w:val="000000"/>
                <w:sz w:val="20"/>
              </w:rPr>
              <w:t>INS. RATE</w:t>
            </w:r>
          </w:p>
        </w:tc>
        <w:tc>
          <w:tcPr>
            <w:tcW w:w="1255"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b w:val="1"/>
                <w:color w:val="000000"/>
                <w:sz w:val="20"/>
              </w:rPr>
            </w:pPr>
            <w:r>
              <w:rPr>
                <w:rFonts w:ascii="Arial" w:hAnsi="Arial"/>
                <w:b w:val="1"/>
                <w:color w:val="000000"/>
                <w:sz w:val="20"/>
                <w:shd w:val="clear" w:fill="FFFF00"/>
              </w:rPr>
              <w:t>PREMIUM</w:t>
            </w:r>
          </w:p>
        </w:tc>
      </w:tr>
      <w:tr>
        <w:trPr>
          <w:wBefore w:w="0" w:type="dxa"/>
          <w:wAfter w:w="0" w:type="dxa"/>
        </w:trPr>
        <w:tc>
          <w:tcPr>
            <w:tcW w:w="1207" w:type="dxa"/>
            <w:tcBorders>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center"/>
          </w:tcPr>
          <w:p>
            <w:pPr>
              <w:rPr>
                <w:rFonts w:ascii="Arial" w:hAnsi="Arial"/>
                <w:color w:val="000000"/>
                <w:sz w:val="20"/>
              </w:rPr>
            </w:pPr>
            <w:r>
              <w:rPr>
                <w:rFonts w:ascii="Arial" w:hAnsi="Arial"/>
                <w:color w:val="000000"/>
                <w:sz w:val="20"/>
              </w:rPr>
              <w:t>OLD SUM INSURED</w:t>
            </w:r>
          </w:p>
        </w:tc>
        <w:tc>
          <w:tcPr>
            <w:tcW w:w="1195"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60,000.00</w:t>
            </w:r>
          </w:p>
        </w:tc>
        <w:tc>
          <w:tcPr>
            <w:tcW w:w="1463"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305</w:t>
            </w:r>
          </w:p>
        </w:tc>
        <w:tc>
          <w:tcPr>
            <w:tcW w:w="1231"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1.1</w:t>
            </w:r>
          </w:p>
        </w:tc>
        <w:tc>
          <w:tcPr>
            <w:tcW w:w="1720"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20,130,000.00</w:t>
            </w:r>
          </w:p>
        </w:tc>
        <w:tc>
          <w:tcPr>
            <w:tcW w:w="840"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0.14%</w:t>
            </w:r>
          </w:p>
        </w:tc>
        <w:tc>
          <w:tcPr>
            <w:tcW w:w="1255"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b w:val="1"/>
                <w:color w:val="000000"/>
                <w:sz w:val="20"/>
              </w:rPr>
            </w:pPr>
            <w:r>
              <w:rPr>
                <w:rFonts w:ascii="Arial" w:hAnsi="Arial"/>
                <w:b w:val="1"/>
                <w:color w:val="000000"/>
                <w:sz w:val="20"/>
                <w:shd w:val="clear" w:fill="FFFF00"/>
              </w:rPr>
              <w:t>28,182.00</w:t>
            </w:r>
          </w:p>
        </w:tc>
      </w:tr>
      <w:tr>
        <w:trPr>
          <w:wBefore w:w="0" w:type="dxa"/>
          <w:wAfter w:w="0" w:type="dxa"/>
        </w:trPr>
        <w:tc>
          <w:tcPr>
            <w:tcW w:w="1207" w:type="dxa"/>
            <w:tcBorders>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NEW SUM INSURED</w:t>
            </w:r>
          </w:p>
        </w:tc>
        <w:tc>
          <w:tcPr>
            <w:tcW w:w="1195"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60,000.00</w:t>
            </w:r>
          </w:p>
        </w:tc>
        <w:tc>
          <w:tcPr>
            <w:tcW w:w="1463"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326</w:t>
            </w:r>
          </w:p>
        </w:tc>
        <w:tc>
          <w:tcPr>
            <w:tcW w:w="1231"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1.1</w:t>
            </w:r>
          </w:p>
        </w:tc>
        <w:tc>
          <w:tcPr>
            <w:tcW w:w="1720"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21,516,000.00</w:t>
            </w:r>
          </w:p>
        </w:tc>
        <w:tc>
          <w:tcPr>
            <w:tcW w:w="840"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color w:val="000000"/>
                <w:sz w:val="20"/>
              </w:rPr>
            </w:pPr>
            <w:r>
              <w:rPr>
                <w:rFonts w:ascii="Arial" w:hAnsi="Arial"/>
                <w:color w:val="000000"/>
                <w:sz w:val="20"/>
              </w:rPr>
              <w:t>0.14%</w:t>
            </w:r>
          </w:p>
        </w:tc>
        <w:tc>
          <w:tcPr>
            <w:tcW w:w="1255" w:type="dxa"/>
            <w:tcBorders>
              <w:bottom w:val="single" w:sz="8" w:space="0" w:shadow="0" w:frame="0" w:color="000000"/>
              <w:right w:val="single" w:sz="8" w:space="0" w:shadow="0" w:frame="0" w:color="000000"/>
            </w:tcBorders>
            <w:tcMar>
              <w:top w:w="0" w:type="dxa"/>
              <w:left w:w="108" w:type="dxa"/>
              <w:bottom w:w="0" w:type="dxa"/>
              <w:right w:w="108" w:type="dxa"/>
            </w:tcMar>
            <w:vAlign w:val="center"/>
          </w:tcPr>
          <w:p>
            <w:pPr>
              <w:jc w:val="center"/>
              <w:rPr>
                <w:rFonts w:ascii="Arial" w:hAnsi="Arial"/>
                <w:b w:val="1"/>
                <w:color w:val="000000"/>
                <w:sz w:val="20"/>
              </w:rPr>
            </w:pPr>
            <w:r>
              <w:rPr>
                <w:rFonts w:ascii="Arial" w:hAnsi="Arial"/>
                <w:b w:val="1"/>
                <w:color w:val="000000"/>
                <w:sz w:val="20"/>
                <w:shd w:val="clear" w:fill="FFFF00"/>
              </w:rPr>
              <w:t>30,122.40</w:t>
            </w:r>
          </w:p>
        </w:tc>
      </w:tr>
    </w:tbl>
    <w:p>
      <w:pPr>
        <w:jc w:val="both"/>
        <w:rPr>
          <w:rFonts w:ascii="Arial" w:hAnsi="Arial"/>
        </w:rPr>
      </w:pPr>
    </w:p>
    <w:p>
      <w:pPr>
        <w:jc w:val="both"/>
        <w:rPr>
          <w:rFonts w:ascii="Arial" w:hAnsi="Arial"/>
        </w:rPr>
      </w:pPr>
    </w:p>
    <w:p>
      <w:pPr>
        <w:rPr>
          <w:rFonts w:ascii="Arial" w:hAnsi="Arial"/>
          <w:color w:val="000000"/>
        </w:rPr>
      </w:pPr>
      <w:r>
        <w:rPr>
          <w:rFonts w:ascii="Arial" w:hAnsi="Arial"/>
          <w:b w:val="1"/>
          <w:color w:val="000000"/>
        </w:rPr>
        <w:t>Consequently, An Additional Premium Of N1,940.40 Is Due From The Insured.</w:t>
      </w:r>
      <w:r>
        <w:rPr>
          <w:rFonts w:ascii="Arial" w:hAnsi="Arial"/>
          <w:color w:val="000000"/>
          <w:sz w:val="28"/>
        </w:rPr>
        <w:br w:type="textWrapping"/>
        <w:br w:type="textWrapping"/>
      </w:r>
      <w:r>
        <w:rPr>
          <w:rFonts w:ascii="Arial" w:hAnsi="Arial"/>
          <w:color w:val="000000"/>
        </w:rPr>
        <w:t>Subject Otherwise To The Terms, Conditions And Exceptions Of The Policy.</w:t>
      </w:r>
      <w:r>
        <w:rPr>
          <w:rFonts w:ascii="Arial" w:hAnsi="Arial"/>
          <w:color w:val="000000"/>
          <w:sz w:val="28"/>
        </w:rPr>
        <w:br w:type="textWrapping"/>
        <w:br w:type="textWrapping"/>
      </w:r>
      <w:r>
        <w:rPr>
          <w:rFonts w:ascii="Arial" w:hAnsi="Arial"/>
          <w:color w:val="000000"/>
        </w:rPr>
        <w:t>Entered In Our Books This 23rd Day Of July, 2019</w:t>
      </w:r>
    </w:p>
    <w:p>
      <w:pPr>
        <w:jc w:val="both"/>
        <w:rPr>
          <w:rFonts w:ascii="Arial" w:hAnsi="Arial"/>
        </w:rPr>
      </w:pPr>
    </w:p>
    <w:p>
      <w:pPr>
        <w:jc w:val="both"/>
        <w:rPr>
          <w:rFonts w:ascii="Arial" w:hAnsi="Arial"/>
        </w:rPr>
      </w:pPr>
    </w:p>
    <w:p>
      <w:pPr>
        <w:jc w:val="both"/>
        <w:rPr>
          <w:rFonts w:ascii="Arial" w:hAnsi="Arial"/>
        </w:rPr>
      </w:pPr>
    </w:p>
    <w:p>
      <w:pPr>
        <w:jc w:val="both"/>
        <w:rPr>
          <w:rFonts w:ascii="Arial" w:hAnsi="Arial"/>
        </w:rPr>
      </w:pPr>
    </w:p>
    <w:p>
      <w:pPr>
        <w:jc w:val="both"/>
        <w:rPr>
          <w:rFonts w:ascii="Arial" w:hAnsi="Arial"/>
          <w:color w:val="000000"/>
        </w:rPr>
      </w:pPr>
      <w:r>
        <w:rPr>
          <w:rFonts w:ascii="Arial" w:hAnsi="Arial"/>
          <w:color w:val="000000"/>
        </w:rPr>
        <w:t>Examined by: AAD     --------------------------------------------------</w:t>
      </w:r>
    </w:p>
    <w:p>
      <w:pPr>
        <w:jc w:val="both"/>
        <w:rPr>
          <w:rFonts w:ascii="Arial" w:hAnsi="Arial"/>
        </w:rPr>
      </w:pPr>
      <w:r>
        <w:rPr>
          <w:rFonts w:ascii="Arial" w:hAnsi="Arial"/>
          <w:color w:val="000000"/>
        </w:rPr>
        <w:t xml:space="preserve">                                  </w:t>
      </w:r>
      <w:r>
        <w:rPr>
          <w:rFonts w:ascii="Arial" w:hAnsi="Arial"/>
          <w:b w:val="1"/>
          <w:color w:val="000000"/>
        </w:rPr>
        <w:t>For: CORNERSTONE INSURANCE PLC</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