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796444b62ccfe2b6e61eda1425db7cfdbb2b93"/>
    <w:p>
      <w:pPr>
        <w:pStyle w:val="Heading2"/>
      </w:pPr>
      <w:r>
        <w:t xml:space="preserve">I am a student/educator, do you offer education licenses?</w:t>
      </w:r>
    </w:p>
    <w:p>
      <w:pPr>
        <w:pStyle w:val="FirstParagraph"/>
      </w:pPr>
      <w:r>
        <w:t xml:space="preserve">Yes, we offer training licenses that function in the same way as RapidPlan and RapidPath, except plans generated on them are exported with watermarks to indicate the plans were created for educational use only.</w:t>
      </w:r>
    </w:p>
    <w:p>
      <w:pPr>
        <w:pStyle w:val="BodyText"/>
      </w:pPr>
      <w:r>
        <w:t xml:space="preserve">If you are interested in a training license please contact our sales team at sales@invarion.com.</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2024-04-03T08:33:55Z</dcterms:created>
  <dcterms:modified xsi:type="dcterms:W3CDTF">2024-04-03T08:33:55Z</dcterms:modified>
</cp:coreProperties>
</file>

<file path=docProps/custom.xml><?xml version="1.0" encoding="utf-8"?>
<Properties xmlns="http://schemas.openxmlformats.org/officeDocument/2006/custom-properties" xmlns:vt="http://schemas.openxmlformats.org/officeDocument/2006/docPropsVTypes"/>
</file>