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folders-actions"/>
    <w:p>
      <w:pPr>
        <w:pStyle w:val="Heading1"/>
      </w:pPr>
      <w:r>
        <w:t xml:space="preserve">Folders Actions</w:t>
      </w:r>
    </w:p>
    <w:p>
      <w:pPr>
        <w:pStyle w:val="FirstParagraph"/>
      </w:pPr>
      <w:r>
        <w:t xml:space="preserve">You can see available actions for the folder by clicking on the</w:t>
      </w:r>
      <w:r>
        <w:t xml:space="preserve"> </w:t>
      </w:r>
      <w:r>
        <w:t xml:space="preserve">“</w:t>
      </w:r>
      <w:r>
        <w:t xml:space="preserve">three dots</w:t>
      </w:r>
      <w:r>
        <w:t xml:space="preserve">”</w:t>
      </w:r>
      <w:r>
        <w:t xml:space="preserve"> </w:t>
      </w:r>
      <w:r>
        <w:t xml:space="preserve">button near its name. This will open folder’s context menu with all options listed.</w:t>
      </w:r>
    </w:p>
    <w:p>
      <w:pPr>
        <w:pStyle w:val="CaptionedFigure"/>
      </w:pPr>
      <w:r>
        <w:drawing>
          <wp:inline>
            <wp:extent cx="5334000" cy="3345556"/>
            <wp:effectExtent b="0" l="0" r="0" t="0"/>
            <wp:docPr descr="Folder Actions" title="" id="21" name="Picture"/>
            <a:graphic>
              <a:graphicData uri="http://schemas.openxmlformats.org/drawingml/2006/picture">
                <pic:pic>
                  <pic:nvPicPr>
                    <pic:cNvPr descr="./assets/Folder_Action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Folder Actions</w:t>
      </w:r>
    </w:p>
    <w:p>
      <w:pPr>
        <w:pStyle w:val="BodyText"/>
      </w:pPr>
      <w:r>
        <w:t xml:space="preserve">Different actions you can do on folders: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name of the folder.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folder and its contents to trash.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folder and its contents to a different location.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2024-04-03T08:33:57Z</dcterms:created>
  <dcterms:modified xsi:type="dcterms:W3CDTF">2024-04-03T08:33:57Z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