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elect-tool"/>
    <w:p>
      <w:pPr>
        <w:pStyle w:val="Heading1"/>
      </w:pPr>
      <w:r>
        <w:t xml:space="preserve">Select tool</w:t>
      </w:r>
    </w:p>
    <w:p>
      <w:pPr>
        <w:pStyle w:val="FirstParagraph"/>
      </w:pPr>
      <w:r>
        <w:t xml:space="preserve">When drawing on the canvas area, your mouse can perform a number of functions. It can select objects, pan across the workspace and zoom in and out (using a mouse wheel). RapidPlan Online offers two options for alternating between these functions - canvas button, tool selection in the main menu.</w:t>
      </w:r>
    </w:p>
    <w:p>
      <w:pPr>
        <w:pStyle w:val="BodyText"/>
      </w:pPr>
      <w:r>
        <w:t xml:space="preserve">The Select tool is principally used to drag and drop objects onto the canvas area. It also has a special drag-select function, used when selecting multiple objects. Clicking (tap and hold on mobile devices) and dragging your mouse creates a selection window. The direction you drag the mouse creates a different colored window.</w:t>
      </w:r>
    </w:p>
    <w:p>
      <w:pPr>
        <w:pStyle w:val="BodyText"/>
      </w:pPr>
      <w:r>
        <w:t xml:space="preserve">If you drag to the right, the window is purple. This selects objects that are completely within the purple window.</w:t>
      </w:r>
    </w:p>
    <w:p>
      <w:pPr>
        <w:pStyle w:val="BodyText"/>
      </w:pPr>
      <w:r>
        <w:t xml:space="preserve">If you drag to the left, the window is green. This selects all objects touching the green window.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3"/>
        <w:gridCol w:w="1471"/>
        <w:gridCol w:w="2523"/>
        <w:gridCol w:w="14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1918321" cy="1336430"/>
                  <wp:effectExtent b="0" l="0" r="0" t="0"/>
                  <wp:docPr descr="Purple 1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purple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321" cy="1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Drag right (Purple)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18321" cy="1336430"/>
                  <wp:effectExtent b="0" l="0" r="0" t="0"/>
                  <wp:docPr descr="Purple 2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purple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321" cy="1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918321" cy="1336430"/>
                  <wp:effectExtent b="0" l="0" r="0" t="0"/>
                  <wp:docPr descr="Green 1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Assets/green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321" cy="1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Drag left (green)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1918321" cy="1336430"/>
                  <wp:effectExtent b="0" l="0" r="0" t="0"/>
                  <wp:docPr descr="Green 2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Assets/green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321" cy="1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Object selection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2024-04-03T08:33:58Z</dcterms:created>
  <dcterms:modified xsi:type="dcterms:W3CDTF">2024-04-03T08:33:58Z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