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oolbar"/>
    <w:p>
      <w:pPr>
        <w:pStyle w:val="Heading1"/>
      </w:pPr>
      <w:r>
        <w:t xml:space="preserve">Toolbar</w:t>
      </w:r>
    </w:p>
    <w:p>
      <w:pPr>
        <w:pStyle w:val="FirstParagraph"/>
      </w:pPr>
      <w:r>
        <w:t xml:space="preserve">The Toolbar, located in the top right corner of the workspace, contains a number of button available for quick access. Each button is described in Table 4.2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9"/>
        <w:gridCol w:w="2483"/>
        <w:gridCol w:w="40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Print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767328" cy="671412"/>
                  <wp:effectExtent b="0" l="0" r="0" t="0"/>
                  <wp:docPr descr="toolbar1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toolbar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328" cy="67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the printing dialogue to print or export a plan.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Location features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767328" cy="671412"/>
                  <wp:effectExtent b="0" l="0" r="0" t="0"/>
                  <wp:docPr descr="toolbar2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toolbar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328" cy="67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Location-based features, including: Go to location and Toggle location marker.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Map view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767328" cy="671412"/>
                  <wp:effectExtent b="0" l="0" r="0" t="0"/>
                  <wp:docPr descr="toolbar4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toolbar4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328" cy="67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Toggle between different map views, including: Satellite, Road, Hybrid and Terrain.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767328" cy="671412"/>
                  <wp:effectExtent b="0" l="0" r="0" t="0"/>
                  <wp:docPr descr="toolbar5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toolbar5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328" cy="67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Show/hide the Tools palette.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Operations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767328" cy="671412"/>
                  <wp:effectExtent b="0" l="0" r="0" t="0"/>
                  <wp:docPr descr="toolbar6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Assets/toolbar6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328" cy="67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Show/hide the Operations palette.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2024-04-03T08:33:59Z</dcterms:created>
  <dcterms:modified xsi:type="dcterms:W3CDTF">2024-04-03T08:33:59Z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