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rawing-a-work-zone"/>
    <w:p>
      <w:pPr>
        <w:pStyle w:val="Heading3"/>
      </w:pPr>
      <w:r>
        <w:t xml:space="preserve">Drawing a work zone</w:t>
      </w:r>
    </w:p>
    <w:p>
      <w:pPr>
        <w:pStyle w:val="Compact"/>
        <w:numPr>
          <w:ilvl w:val="0"/>
          <w:numId w:val="1001"/>
        </w:numPr>
      </w:pPr>
      <w:r>
        <w:t xml:space="preserve">Select the appropriate tool (Work zone, Safety zone) from the Markers tab in the Tools palette;</w:t>
      </w:r>
    </w:p>
    <w:p>
      <w:pPr>
        <w:pStyle w:val="Compact"/>
        <w:numPr>
          <w:ilvl w:val="0"/>
          <w:numId w:val="1001"/>
        </w:numPr>
      </w:pPr>
      <w:r>
        <w:t xml:space="preserve">Click at the first corner point of your required area and continue clicking to set corner points;</w:t>
      </w:r>
    </w:p>
    <w:p>
      <w:pPr>
        <w:pStyle w:val="Compact"/>
        <w:numPr>
          <w:ilvl w:val="0"/>
          <w:numId w:val="1001"/>
        </w:numPr>
      </w:pPr>
      <w:r>
        <w:t xml:space="preserve">When the final point is placed, right click to stop drawing;</w:t>
      </w:r>
    </w:p>
    <w:p>
      <w:pPr>
        <w:pStyle w:val="Compact"/>
        <w:numPr>
          <w:ilvl w:val="0"/>
          <w:numId w:val="1001"/>
        </w:numPr>
      </w:pPr>
      <w:r>
        <w:t xml:space="preserve">Right click to clear the cursor.</w:t>
      </w:r>
    </w:p>
    <w:p>
      <w:pPr>
        <w:pStyle w:val="FirstParagraph"/>
      </w:pPr>
      <w:r>
        <w:t xml:space="preserve">An example work zone is shown below.</w:t>
      </w:r>
    </w:p>
    <w:p>
      <w:pPr>
        <w:pStyle w:val="BodyText"/>
      </w:pPr>
      <w:r>
        <w:drawing>
          <wp:inline>
            <wp:extent cx="3197202" cy="258333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assets/Work_Zone_Too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02" cy="2583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2024-04-03T08:34:01Z</dcterms:created>
  <dcterms:modified xsi:type="dcterms:W3CDTF">2024-04-03T08:34:01Z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