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using-the-signage"/>
    <w:p>
      <w:pPr>
        <w:pStyle w:val="Heading1"/>
      </w:pPr>
      <w:r>
        <w:t xml:space="preserve">Using the Signage</w:t>
      </w:r>
    </w:p>
    <w:p>
      <w:pPr>
        <w:pStyle w:val="FirstParagraph"/>
      </w:pPr>
      <w:r>
        <w:t xml:space="preserve">The layout of the Signs palette was discussed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 This section details using the signing on your canvas area.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docs/rapid-online/4.%20RapidPlan%20Online%20Workspace/4.4.2%20Signs%20palett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docs/rapid-online/4.%20RapidPlan%20Online%20Workspace/4.4.2%20Signs%20palett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2024-04-03T08:34:01Z</dcterms:created>
  <dcterms:modified xsi:type="dcterms:W3CDTF">2024-04-03T08:34:01Z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