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he-tools"/>
    <w:p>
      <w:pPr>
        <w:pStyle w:val="Heading2"/>
      </w:pPr>
      <w:r>
        <w:t xml:space="preserve">The Tools</w:t>
      </w:r>
    </w:p>
    <w:p>
      <w:pPr>
        <w:pStyle w:val="FirstParagraph"/>
      </w:pPr>
      <w:r>
        <w:t xml:space="preserve">There are 20 different basic tools you can use. The majority are classed as either lines, or shapes. The Text and Image tools operate differently to all the others.</w:t>
      </w:r>
    </w:p>
    <w:p>
      <w:pPr>
        <w:pStyle w:val="BodyText"/>
      </w:pPr>
      <w:r>
        <w:t xml:space="preserve">To see broken down listings of each class of tool, please visit</w:t>
      </w:r>
      <w:r>
        <w:t xml:space="preserve"> </w:t>
      </w:r>
      <w:hyperlink r:id="rId20">
        <w:r>
          <w:rPr>
            <w:rStyle w:val="Hyperlink"/>
          </w:rPr>
          <w:t xml:space="preserve">The Tools Palette</w:t>
        </w:r>
      </w:hyperlink>
      <w:r>
        <w:t xml:space="preserve"> </w:t>
      </w:r>
      <w:r>
        <w:t xml:space="preserve">page.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0"/>
        <w:gridCol w:w="1980"/>
        <w:gridCol w:w="1870"/>
        <w:gridCol w:w="22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Lines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Shapes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Text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Image import tool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953928" cy="1617044"/>
                  <wp:effectExtent b="0" l="0" r="0" t="0"/>
                  <wp:docPr descr="Lines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assets/Lines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928" cy="1617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953928" cy="2252311"/>
                  <wp:effectExtent b="0" l="0" r="0" t="0"/>
                  <wp:docPr descr="Shapes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assets/Shapes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928" cy="2252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953928" cy="1617044"/>
                  <wp:effectExtent b="0" l="0" r="0" t="0"/>
                  <wp:docPr descr="Text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/assets/Tex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928" cy="1617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2009775" cy="2381250"/>
                  <wp:effectExtent b="0" l="0" r="0" t="0"/>
                  <wp:docPr descr="Image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/assets/Imag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Arrow, Text Arrow and Callbox are all covered in the marker tools sections (</w:t>
      </w:r>
      <w:hyperlink r:id="rId33">
        <w:r>
          <w:rPr>
            <w:rStyle w:val="Hyperlink"/>
          </w:rPr>
          <w:t xml:space="preserve">part 1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part 2</w:t>
        </w:r>
      </w:hyperlink>
      <w:r>
        <w:t xml:space="preserve">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/docs/rapid-plan/3.%20The%20RapidPlan%20Screen/3.2.2.2%20The%20Tools%20Palette.md" TargetMode="External" /><Relationship Type="http://schemas.openxmlformats.org/officeDocument/2006/relationships/hyperlink" Id="rId33" Target="/docs/rapid-plan/9.%20The%20Marker%20Tools/9.15.4%20The%20Six%20Distance%20Markers%20(pt1).md" TargetMode="External" /><Relationship Type="http://schemas.openxmlformats.org/officeDocument/2006/relationships/hyperlink" Id="rId34" Target="/docs/rapid-plan/9.%20The%20Marker%20Tools/9.15.4%20The%20Six%20Distance%20Markers%20(pt2)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ocs/rapid-plan/3.%20The%20RapidPlan%20Screen/3.2.2.2%20The%20Tools%20Palette.md" TargetMode="External" /><Relationship Type="http://schemas.openxmlformats.org/officeDocument/2006/relationships/hyperlink" Id="rId33" Target="/docs/rapid-plan/9.%20The%20Marker%20Tools/9.15.4%20The%20Six%20Distance%20Markers%20(pt1).md" TargetMode="External" /><Relationship Type="http://schemas.openxmlformats.org/officeDocument/2006/relationships/hyperlink" Id="rId34" Target="/docs/rapid-plan/9.%20The%20Marker%20Tools/9.15.4%20The%20Six%20Distance%20Markers%20(pt2)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