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kingunlocking-layers"/>
    <w:p>
      <w:pPr>
        <w:pStyle w:val="Heading2"/>
      </w:pPr>
      <w:r>
        <w:t xml:space="preserve">Locking/Unlocking Layers</w:t>
      </w:r>
    </w:p>
    <w:p>
      <w:pPr>
        <w:pStyle w:val="FirstParagraph"/>
      </w:pPr>
      <w:r>
        <w:t xml:space="preserve">Sometimes, when you are finished drawing a layer you might want to lock it, to ensure you don’t accidentally change your completed work. To do this, simply select the layer you need, then hit the</w:t>
      </w:r>
      <w:r>
        <w:t xml:space="preserve"> </w:t>
      </w:r>
      <w:r>
        <w:rPr>
          <w:b/>
          <w:bCs/>
        </w:rPr>
        <w:t xml:space="preserve">Lock/unlock layer</w:t>
      </w:r>
      <w:r>
        <w:t xml:space="preserve"> </w:t>
      </w:r>
      <w:r>
        <w:t xml:space="preserve">button on the toolbar.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2024-04-03T08:34:08Z</dcterms:created>
  <dcterms:modified xsi:type="dcterms:W3CDTF">2024-04-03T08:34:08Z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