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toolbar"/>
    <w:p>
      <w:pPr>
        <w:pStyle w:val="Heading2"/>
      </w:pPr>
      <w:r>
        <w:t xml:space="preserve">The Toolbar</w:t>
      </w:r>
    </w:p>
    <w:p>
      <w:pPr>
        <w:pStyle w:val="FirstParagraph"/>
      </w:pPr>
      <w:r>
        <w:t xml:space="preserve">The toolbar houses most of the</w:t>
      </w:r>
      <w:r>
        <w:t xml:space="preserve"> </w:t>
      </w:r>
      <w:r>
        <w:t xml:space="preserve">“</w:t>
      </w:r>
      <w:r>
        <w:t xml:space="preserve">plan-wide</w:t>
      </w:r>
      <w:r>
        <w:t xml:space="preserve">”</w:t>
      </w:r>
      <w:r>
        <w:t xml:space="preserve"> </w:t>
      </w:r>
      <w:r>
        <w:t xml:space="preserve">tools that you will use for your plan such as the flip tools, zoom tools, and various special mode options.</w:t>
      </w:r>
    </w:p>
    <w:p>
      <w:pPr>
        <w:pStyle w:val="CaptionedFigure"/>
      </w:pPr>
      <w:r>
        <w:drawing>
          <wp:inline>
            <wp:extent cx="5334000" cy="297414"/>
            <wp:effectExtent b="0" l="0" r="0" t="0"/>
            <wp:docPr descr="toolbar" title="" id="21" name="Picture"/>
            <a:graphic>
              <a:graphicData uri="http://schemas.openxmlformats.org/drawingml/2006/picture">
                <pic:pic>
                  <pic:nvPicPr>
                    <pic:cNvPr descr="./assets/The_Tool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toolbar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2024-04-03T08:34:12Z</dcterms:created>
  <dcterms:modified xsi:type="dcterms:W3CDTF">2024-04-03T08:34:12Z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