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perties-of-the-road-tool---lanes"/>
    <w:p>
      <w:pPr>
        <w:pStyle w:val="Heading2"/>
      </w:pPr>
      <w:r>
        <w:t xml:space="preserve">Properties of the Road Tool - Lanes</w:t>
      </w:r>
    </w:p>
    <w:p>
      <w:pPr>
        <w:pStyle w:val="FirstParagraph"/>
      </w:pPr>
      <w:r>
        <w:t xml:space="preserve">In this section you can edit the number of lanes, lane width and lane markings (including width color and style).</w:t>
      </w:r>
    </w:p>
    <w:p>
      <w:pPr>
        <w:pStyle w:val="CaptionedFigure"/>
      </w:pPr>
      <w:r>
        <w:drawing>
          <wp:inline>
            <wp:extent cx="2028825" cy="3810000"/>
            <wp:effectExtent b="0" l="0" r="0" t="0"/>
            <wp:docPr descr="Lane_Properties" title="" id="21" name="Picture"/>
            <a:graphic>
              <a:graphicData uri="http://schemas.openxmlformats.org/drawingml/2006/picture">
                <pic:pic>
                  <pic:nvPicPr>
                    <pic:cNvPr descr="./assets/Lane_Properti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Lane_Properties</w:t>
      </w:r>
    </w:p>
    <w:p>
      <w:pPr>
        <w:pStyle w:val="BodyText"/>
      </w:pPr>
      <w:r>
        <w:rPr>
          <w:b/>
          <w:bCs/>
        </w:rPr>
        <w:t xml:space="preserve">To change a road’s lane markings in properties:</w:t>
      </w:r>
    </w:p>
    <w:p>
      <w:pPr>
        <w:pStyle w:val="Compact"/>
        <w:numPr>
          <w:ilvl w:val="0"/>
          <w:numId w:val="1001"/>
        </w:numPr>
      </w:pPr>
      <w:r>
        <w:t xml:space="preserve">Select the road.</w:t>
      </w:r>
    </w:p>
    <w:p>
      <w:pPr>
        <w:pStyle w:val="Compact"/>
        <w:numPr>
          <w:ilvl w:val="0"/>
          <w:numId w:val="1001"/>
        </w:numPr>
      </w:pPr>
      <w:r>
        <w:t xml:space="preserve">On the Lanes tab in the properties palette select Markings.</w:t>
      </w:r>
    </w:p>
    <w:p>
      <w:pPr>
        <w:pStyle w:val="Compact"/>
        <w:numPr>
          <w:ilvl w:val="0"/>
          <w:numId w:val="1001"/>
        </w:numPr>
      </w:pPr>
      <w:r>
        <w:t xml:space="preserve">Change the width value, the color and/or style of the markings (Dashed, Solid, DashSolid, SolidDash, Double or None), dash and gap length.</w:t>
      </w:r>
    </w:p>
    <w:p>
      <w:pPr>
        <w:pStyle w:val="FirstParagraph"/>
      </w:pPr>
      <w:r>
        <w:t xml:space="preserve">Styles of Lane Markings for your roads:</w:t>
      </w:r>
    </w:p>
    <w:p>
      <w:pPr>
        <w:pStyle w:val="CaptionedFigure"/>
      </w:pPr>
      <w:r>
        <w:drawing>
          <wp:inline>
            <wp:extent cx="5334000" cy="3469268"/>
            <wp:effectExtent b="0" l="0" r="0" t="0"/>
            <wp:docPr descr="Lane_Marking_Styles" title="" id="24" name="Picture"/>
            <a:graphic>
              <a:graphicData uri="http://schemas.openxmlformats.org/drawingml/2006/picture">
                <pic:pic>
                  <pic:nvPicPr>
                    <pic:cNvPr descr="./assets/Lane_Marking_Styl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Lane_Marking_Styles</w:t>
      </w:r>
    </w:p>
    <w:p>
      <w:pPr>
        <w:pStyle w:val="BodyText"/>
      </w:pPr>
      <w:r>
        <w:t xml:space="preserve">Each line marking on a road is set individually, so you can have different markings for different lanes. Each extra lane you add will accessible in the Markings section.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2024-04-03T08:34:17Z</dcterms:created>
  <dcterms:modified xsi:type="dcterms:W3CDTF">2024-04-03T08:34:17Z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