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flush-median-tool"/>
    <w:p>
      <w:pPr>
        <w:pStyle w:val="Heading2"/>
      </w:pPr>
      <w:r>
        <w:t xml:space="preserve">The Flush Median Tool</w:t>
      </w:r>
    </w:p>
    <w:p>
      <w:pPr>
        <w:pStyle w:val="FirstParagraph"/>
      </w:pPr>
      <w:r>
        <w:t xml:space="preserve">This tool works like any Polygon where you click to place each of its corners and can adjust the control points to get the shape you need.</w:t>
      </w:r>
    </w:p>
    <w:p>
      <w:pPr>
        <w:pStyle w:val="CaptionedFigure"/>
      </w:pPr>
      <w:r>
        <w:drawing>
          <wp:inline>
            <wp:extent cx="5334000" cy="2740068"/>
            <wp:effectExtent b="0" l="0" r="0" t="0"/>
            <wp:docPr descr="A_Flush_Median_tool" title="" id="21" name="Picture"/>
            <a:graphic>
              <a:graphicData uri="http://schemas.openxmlformats.org/drawingml/2006/picture">
                <pic:pic>
                  <pic:nvPicPr>
                    <pic:cNvPr descr="./assets/A_Flush_Median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A_Flush_Median_tool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