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necting-incoming-roads"/>
    <w:p>
      <w:pPr>
        <w:pStyle w:val="Heading2"/>
      </w:pPr>
      <w:r>
        <w:t xml:space="preserve">Connecting incoming roads</w:t>
      </w:r>
    </w:p>
    <w:p>
      <w:pPr>
        <w:pStyle w:val="FirstParagraph"/>
      </w:pPr>
      <w:r>
        <w:t xml:space="preserve">The intersection object exposes control points at the end of each of its roads. These points can be snapped to when drawing a road object or adjusting control points of an existing road. Holding down the Ctrl key while snapping to intersection enables automatic road alignment - RapidPlan will automatically adjust the shape of the road so that it seamlessly merges with the intersection object.</w:t>
      </w:r>
    </w:p>
    <w:p>
      <w:pPr>
        <w:pStyle w:val="CaptionedFigure"/>
      </w:pPr>
      <w:r>
        <w:drawing>
          <wp:inline>
            <wp:extent cx="5334000" cy="1801938"/>
            <wp:effectExtent b="0" l="0" r="0" t="0"/>
            <wp:docPr descr="Connecting_roads" title="" id="21" name="Picture"/>
            <a:graphic>
              <a:graphicData uri="http://schemas.openxmlformats.org/drawingml/2006/picture">
                <pic:pic>
                  <pic:nvPicPr>
                    <pic:cNvPr descr="./assets/Connecting_road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Connecting_roads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2024-04-03T08:34:19Z</dcterms:created>
  <dcterms:modified xsi:type="dcterms:W3CDTF">2024-04-03T08:34:19Z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