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changing-the-lane-markers"/>
    <w:p>
      <w:pPr>
        <w:pStyle w:val="Heading2"/>
      </w:pPr>
      <w:r>
        <w:t xml:space="preserve">Changing the Lane Markers</w:t>
      </w:r>
    </w:p>
    <w:p>
      <w:pPr>
        <w:numPr>
          <w:ilvl w:val="0"/>
          <w:numId w:val="1001"/>
        </w:numPr>
      </w:pPr>
      <w:r>
        <w:t xml:space="preserve">Select the</w:t>
      </w:r>
      <w:r>
        <w:t xml:space="preserve"> </w:t>
      </w:r>
      <w:r>
        <w:rPr>
          <w:b/>
          <w:bCs/>
        </w:rPr>
        <w:t xml:space="preserve">Lane Marker</w:t>
      </w:r>
      <w:r>
        <w:t xml:space="preserve"> </w:t>
      </w:r>
      <w:r>
        <w:t xml:space="preserve">tool in the Markings tab and draw a lane marking for the turning lane.</w:t>
      </w:r>
    </w:p>
    <w:p>
      <w:pPr>
        <w:numPr>
          <w:ilvl w:val="0"/>
          <w:numId w:val="1001"/>
        </w:numPr>
      </w:pPr>
      <w:r>
        <w:t xml:space="preserve">Now double click on the north-south road, select the Lanes tab and change the lane marker to double in the Markings section.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2834907"/>
            <wp:effectExtent b="0" l="0" r="0" t="0"/>
            <wp:docPr descr="intersection_Steps_5_and_6" title="" id="21" name="Picture"/>
            <a:graphic>
              <a:graphicData uri="http://schemas.openxmlformats.org/drawingml/2006/picture">
                <pic:pic>
                  <pic:nvPicPr>
                    <pic:cNvPr descr="./assets/T-intersection_Steps_5_and_6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4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intersection_Steps_5_and_6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2024-04-03T08:34:20Z</dcterms:created>
  <dcterms:modified xsi:type="dcterms:W3CDTF">2024-04-03T08:34:20Z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