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rossroads"/>
    <w:p>
      <w:pPr>
        <w:pStyle w:val="Heading2"/>
      </w:pPr>
      <w:r>
        <w:t xml:space="preserve">Crossroads</w:t>
      </w:r>
    </w:p>
    <w:p>
      <w:pPr>
        <w:pStyle w:val="FirstParagraph"/>
      </w:pPr>
      <w:r>
        <w:t xml:space="preserve">Crossroads are similar to T-Intersections in many regards. Our simple crossroad will be a 4-lane east-west and 3-lane north-south junction.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490"/>
        <w:gridCol w:w="143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Crossroad intersection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885950" cy="1905000"/>
                  <wp:effectExtent b="0" l="0" r="0" t="0"/>
                  <wp:docPr descr="Crossroad_intersection_table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assets/Crossroad_intersection_tabl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{no-label}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This simple Crossroad intersection makes use if the following items:</w:t>
            </w:r>
            <w:r>
              <w:t xml:space="preserve"> </w:t>
            </w:r>
            <w:r>
              <w:t xml:space="preserve">- Road tool - Lane Marker tool - Lane Mask tool - Rectangle tool - Furniture from Signs Palette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2024-04-03T08:34:20Z</dcterms:created>
  <dcterms:modified xsi:type="dcterms:W3CDTF">2024-04-03T08:34:20Z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