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</w:rPr>
        <w:t xml:space="preserve">Report Task 3 — Allineamento MTM ↔ EvoMine</w:t>
      </w:r>
    </w:p>
    <w:p>
      <w:pPr>
        <w:spacing w:after="60"/>
      </w:pPr>
      <w:r>
        <w:rPr>
          <w:i/>
          <w:iCs/>
        </w:rPr>
        <w:t xml:space="preserve">Tirocinio: "Profili evolutivi multilivello di reti complesse tramite temporal network motif"</w:t>
      </w:r>
    </w:p>
    <w:p>
      <w:pPr>
        <w:spacing w:after="300"/>
      </w:pPr>
      <w:r>
        <w:rPr>
          <w:b/>
          <w:bCs/>
        </w:rPr>
        <w:t xml:space="preserve">Data: 2026-06-22</w:t>
      </w:r>
      <w:r>
        <w:t xml:space="preserve">   |   </w:t>
      </w:r>
      <w:r>
        <w:rPr>
          <w:b/>
          <w:bCs/>
        </w:rPr>
        <w:t xml:space="preserve">Autore: Carlo Invernizzi</w:t>
      </w:r>
    </w:p>
    <w:p>
      <w:pPr>
        <w:pStyle w:val="Heading1"/>
        <w:spacing w:after="150" w:before="300"/>
      </w:pPr>
      <w:r>
        <w:t xml:space="preserve">1. Obiettivo e contesto</w:t>
      </w:r>
    </w:p>
    <w:p>
      <w:pPr>
        <w:spacing w:after="150"/>
      </w:pPr>
      <w:r>
        <w:t xml:space="preserve">Rendere MTM ed EvoMine confrontabili sullo stesso dataset (CollegeMsg, 5000 eventi):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MTM con consecutive=YES → transition matrix P(terzo evento | prefisso 2-eventi)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EvoMine con support=1 → tutte le regole GER possibili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Stessa granularità temporale per entrambi</w:t>
      </w:r>
    </w:p>
    <w:p>
      <w:pPr>
        <w:pStyle w:val="Heading1"/>
        <w:spacing w:after="150" w:before="300"/>
      </w:pPr>
      <w:r>
        <w:t xml:space="preserve">2. Dataset e Sample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Proprietà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Valore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Dataset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CollegeMsg (Stanford SNAP)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 eventi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5.000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Periodo coperto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15.6 giorni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Fonte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primi 5000 eventi ordinati per timestamp</w:t>
            </w:r>
          </w:p>
        </w:tc>
      </w:tr>
    </w:tbl>
    <w:p>
      <w:pPr>
        <w:pStyle w:val="Heading1"/>
        <w:spacing w:after="150" w:before="300"/>
      </w:pPr>
      <w:r>
        <w:t xml:space="preserve">3. MTM con consecutive=YES — Transition Matrix</w:t>
      </w:r>
    </w:p>
    <w:p>
      <w:pPr>
        <w:spacing w:after="150"/>
      </w:pPr>
      <w:r>
        <w:rPr>
          <w:b/>
          <w:bCs/>
        </w:rPr>
        <w:t xml:space="preserve">Parametri: L_MAX=4, DELTA=86400s, consecutive=YES</w:t>
      </w:r>
    </w:p>
    <w:p>
      <w:pPr>
        <w:spacing w:after="150" w:before="150"/>
        <w:jc w:val="center"/>
      </w:pPr>
      <w:r>
        <w:drawing>
          <wp:inline distT="0" distB="0" distL="0" distR="0">
            <wp:extent cx="5040000" cy="283619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3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/>
          <w:bCs/>
        </w:rPr>
        <w:t xml:space="preserve">Tabella transizioni più frequenti: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Prefisso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Terzo evento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Probabilità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0102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0.41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196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0101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0.39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81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0110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0.37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51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0120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0.32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58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0121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0.29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85</w:t>
            </w:r>
          </w:p>
        </w:tc>
      </w:tr>
    </w:tbl>
    <w:p>
      <w:pPr>
        <w:spacing w:after="150"/>
      </w:pPr>
      <w:r>
        <w:t xml:space="preserve">Dimensioni matrice: 6 prefissi × 12 terzi-eventi, 53/72 celle osservate (73.6%).</w:t>
      </w:r>
    </w:p>
    <w:p>
      <w:pPr>
        <w:spacing w:after="150"/>
      </w:pPr>
      <w:r>
        <w:t xml:space="preserve">Osservazione: transizione dominante 0102→03 (P=0.41) — pattern hub che si espande verso nodi sempre nuovi. Nessun prefisso ha P&gt;0.5.</w:t>
      </w:r>
    </w:p>
    <w:p>
      <w:pPr>
        <w:pStyle w:val="Heading1"/>
        <w:spacing w:after="150" w:before="300"/>
      </w:pPr>
      <w:r>
        <w:t xml:space="preserve">4. Analisi Granularità Temporale</w:t>
      </w:r>
    </w:p>
    <w:p>
      <w:pPr>
        <w:spacing w:after="150" w:before="150"/>
        <w:jc w:val="center"/>
      </w:pPr>
      <w:r>
        <w:drawing>
          <wp:inline distT="0" distB="0" distL="0" distR="0">
            <wp:extent cx="5040000" cy="190099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0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/>
          <w:bCs/>
        </w:rPr>
        <w:t xml:space="preserve">Tabella statistiche IET: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Statistica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Valore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Mediana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47s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270s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P95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629s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258.552s (3 giorni)</w:t>
            </w:r>
          </w:p>
        </w:tc>
      </w:tr>
    </w:tbl>
    <w:p>
      <w:pPr>
        <w:spacing w:after="150"/>
      </w:pPr>
      <w:r>
        <w:rPr>
          <w:b/>
          <w:bCs/>
        </w:rPr>
        <w:t xml:space="preserve">Tabella granularità candidate: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Granularità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Secondi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% IET entro 1 bucket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 bucket totali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minuti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1800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98.6%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747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ora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3600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99.4%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374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ore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21600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99.9%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63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 ore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43200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100.0%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32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giorno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86400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100.0%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</w:t>
            </w:r>
          </w:p>
        </w:tc>
      </w:tr>
    </w:tbl>
    <w:p>
      <w:pPr>
        <w:spacing w:after="150"/>
      </w:pPr>
      <w:r>
        <w:rPr>
          <w:b/>
          <w:bCs/>
        </w:rPr>
        <w:t xml:space="preserve">Granularità raccomandata: 1 ora (3600s).</w:t>
      </w:r>
    </w:p>
    <w:p>
      <w:pPr>
        <w:spacing w:after="150"/>
      </w:pPr>
      <w:r>
        <w:t xml:space="preserve">Motivazione: cattura il 99.4% degli IET entro 1 bucket, produce 374 bucket totali — bilanciamento ottimale tra precisione temporale e sostenibilità computazionale per EvoMine.</w:t>
      </w:r>
    </w:p>
    <w:p>
      <w:pPr>
        <w:pStyle w:val="Heading1"/>
        <w:spacing w:after="150" w:before="300"/>
      </w:pPr>
      <w:r>
        <w:t xml:space="preserve">5. Prossimi passi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Confermare granularità con correlatrice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Preprocessing con bucket orari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EvoMine con projection=event, support=1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Codifica pattern EvoMine con stessa codifica MTM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Confronto diretto transition matrix vs profilo GER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99126a32755a7eef7561a678e32c06d6393ff.undefined"/><Relationship Id="rId8" Type="http://schemas.openxmlformats.org/officeDocument/2006/relationships/image" Target="media/e58dc050e2e112313ecec16c8395d70523340f1e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2026-07-08T08:55:53.659Z</dcterms:created>
  <dcterms:modified xsi:type="dcterms:W3CDTF">2026-07-08T08:55:53.660Z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