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media/4e499126a32755a7eef7561a678e32c06d6393ff.undefined" ContentType="image/png"/>
  <Override PartName="/word/media/e58dc050e2e112313ecec16c8395d70523340f1e.undefined" ContentType="image/pn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rPr>
          <w:b/>
          <w:bCs/>
        </w:rPr>
        <w:t xml:space="preserve">Report Task 3 — Allineamento MTM ↔ EvoMine</w:t>
      </w:r>
    </w:p>
    <w:p>
      <w:pPr>
        <w:spacing w:after="60"/>
      </w:pPr>
      <w:r>
        <w:rPr>
          <w:i/>
          <w:iCs/>
        </w:rPr>
        <w:t xml:space="preserve">Tirocinio: "Profili evolutivi multilivello di reti complesse tramite temporal network motif"</w:t>
      </w:r>
    </w:p>
    <w:p>
      <w:pPr>
        <w:spacing w:after="300"/>
      </w:pPr>
      <w:r>
        <w:rPr>
          <w:b/>
          <w:bCs/>
        </w:rPr>
        <w:t xml:space="preserve">Data: 2026-06-22</w:t>
      </w:r>
      <w:r>
        <w:t xml:space="preserve">   |   </w:t>
      </w:r>
      <w:r>
        <w:rPr>
          <w:b/>
          <w:bCs/>
        </w:rPr>
        <w:t xml:space="preserve">Autore: Carlo Invernizzi</w:t>
      </w:r>
    </w:p>
    <w:p>
      <w:pPr>
        <w:pStyle w:val="Heading1"/>
        <w:spacing w:after="150" w:before="300"/>
      </w:pPr>
      <w:r>
        <w:t xml:space="preserve">1. Obiettivo e contesto</w:t>
      </w:r>
    </w:p>
    <w:p>
      <w:pPr>
        <w:spacing w:after="150"/>
      </w:pPr>
      <w:r>
        <w:t xml:space="preserve">Rendere MTM ed EvoMine confrontabili sullo stesso dataset (CollegeMsg, 5000 eventi):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MTM con consecutive=YES → transition matrix P(terzo evento | prefisso 2-eventi)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EvoMine con support=1 → tutte le regole GER possibili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Stessa granularità temporale per entrambi</w:t>
      </w:r>
    </w:p>
    <w:p>
      <w:pPr>
        <w:pStyle w:val="Heading1"/>
        <w:spacing w:after="150" w:before="300"/>
      </w:pPr>
      <w:r>
        <w:t xml:space="preserve">2. Dataset e Sample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300"/>
      </w:tblGrid>
      <w:tr>
        <w:trPr>
          <w:tblHeader/>
        </w:trPr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549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Proprietà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549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Valore</w:t>
            </w:r>
          </w:p>
        </w:tc>
      </w:tr>
      <w:tr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Dataset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CollegeMsg (Stanford SNAP)</w:t>
            </w:r>
          </w:p>
        </w:tc>
      </w:tr>
      <w:tr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 eventi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5.000</w:t>
            </w:r>
          </w:p>
        </w:tc>
      </w:tr>
      <w:tr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Periodo coperto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15.6 giorni</w:t>
            </w:r>
          </w:p>
        </w:tc>
      </w:tr>
      <w:tr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Fonte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primi 5000 eventi ordinati per timestamp</w:t>
            </w:r>
          </w:p>
        </w:tc>
      </w:tr>
    </w:tbl>
    <w:p>
      <w:pPr>
        <w:pStyle w:val="Heading1"/>
        <w:spacing w:after="150" w:before="300"/>
      </w:pPr>
      <w:r>
        <w:t>3. MTM con consecutive=YES — Transition Matrix (L_MAX=3, allineato a Task 1/Task 4)</w:t>
      </w:r>
    </w:p>
    <w:p>
      <w:r>
        <w:t>A seguito della revisione dei parametri (vedi nota metodologica), la transition matrix MTM viene ricalcolata con L_MAX=3 (anziché L_MAX=4), per allinearla ai parametri usati nel benchmark di scalabilità del Task 4 e nella run originale su CollegeMsg del Task 1. consecutive=YES e N=5000 restano invariati. Vengono prodotte due versioni, una per ciascuna granularità candidata (30 minuti e 1 ora): la scelta finale verrà concordata con la correlatrice.</w:t>
      </w:r>
    </w:p>
    <w:p>
      <w:pPr>
        <w:pStyle w:val="Heading2"/>
      </w:pPr>
      <w:r>
        <w:t>3.1 Granularità 30 minuti (DELTA=1800s)</w:t>
      </w:r>
    </w:p>
    <w:p>
      <w:r>
        <w:t>Parametri: L_MAX=3, DELTA=1800s, consecutive=YES, N=5000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38344" cy="28040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tm_transition_matrix_L3_30m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38344" cy="2804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Tabella transizioni più frequenti: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b/>
              </w:rPr>
              <w:t>Prefisso</w:t>
            </w:r>
          </w:p>
        </w:tc>
        <w:tc>
          <w:tcPr>
            <w:tcW w:type="dxa" w:w="2256"/>
          </w:tcPr>
          <w:p>
            <w:r>
              <w:rPr>
                <w:b/>
              </w:rPr>
              <w:t>Terzo evento</w:t>
            </w:r>
          </w:p>
        </w:tc>
        <w:tc>
          <w:tcPr>
            <w:tcW w:type="dxa" w:w="2256"/>
          </w:tcPr>
          <w:p>
            <w:r>
              <w:rPr>
                <w:b/>
              </w:rPr>
              <w:t>Probabilità</w:t>
            </w:r>
          </w:p>
        </w:tc>
        <w:tc>
          <w:tcPr>
            <w:tcW w:type="dxa" w:w="2256"/>
          </w:tcPr>
          <w:p>
            <w:r>
              <w:rPr>
                <w:b/>
              </w:rPr>
              <w:t>Count</w:t>
            </w:r>
          </w:p>
        </w:tc>
      </w:tr>
      <w:tr>
        <w:tc>
          <w:tcPr>
            <w:tcW w:type="dxa" w:w="2256"/>
          </w:tcPr>
          <w:p>
            <w:r>
              <w:t>0101</w:t>
            </w:r>
          </w:p>
        </w:tc>
        <w:tc>
          <w:tcPr>
            <w:tcW w:type="dxa" w:w="2256"/>
          </w:tcPr>
          <w:p>
            <w:r>
              <w:t>01</w:t>
            </w:r>
          </w:p>
        </w:tc>
        <w:tc>
          <w:tcPr>
            <w:tcW w:type="dxa" w:w="2256"/>
          </w:tcPr>
          <w:p>
            <w:r>
              <w:t>0.4467</w:t>
            </w:r>
          </w:p>
        </w:tc>
        <w:tc>
          <w:tcPr>
            <w:tcW w:type="dxa" w:w="2256"/>
          </w:tcPr>
          <w:p>
            <w:r>
              <w:t>109</w:t>
            </w:r>
          </w:p>
        </w:tc>
      </w:tr>
      <w:tr>
        <w:tc>
          <w:tcPr>
            <w:tcW w:type="dxa" w:w="2256"/>
          </w:tcPr>
          <w:p>
            <w:r>
              <w:t>0102</w:t>
            </w:r>
          </w:p>
        </w:tc>
        <w:tc>
          <w:tcPr>
            <w:tcW w:type="dxa" w:w="2256"/>
          </w:tcPr>
          <w:p>
            <w:r>
              <w:t>03</w:t>
            </w:r>
          </w:p>
        </w:tc>
        <w:tc>
          <w:tcPr>
            <w:tcW w:type="dxa" w:w="2256"/>
          </w:tcPr>
          <w:p>
            <w:r>
              <w:t>0.4269</w:t>
            </w:r>
          </w:p>
        </w:tc>
        <w:tc>
          <w:tcPr>
            <w:tcW w:type="dxa" w:w="2256"/>
          </w:tcPr>
          <w:p>
            <w:r>
              <w:t>225</w:t>
            </w:r>
          </w:p>
        </w:tc>
      </w:tr>
      <w:tr>
        <w:tc>
          <w:tcPr>
            <w:tcW w:type="dxa" w:w="2256"/>
          </w:tcPr>
          <w:p>
            <w:r>
              <w:t>0110</w:t>
            </w:r>
          </w:p>
        </w:tc>
        <w:tc>
          <w:tcPr>
            <w:tcW w:type="dxa" w:w="2256"/>
          </w:tcPr>
          <w:p>
            <w:r>
              <w:t>01</w:t>
            </w:r>
          </w:p>
        </w:tc>
        <w:tc>
          <w:tcPr>
            <w:tcW w:type="dxa" w:w="2256"/>
          </w:tcPr>
          <w:p>
            <w:r>
              <w:t>0.4118</w:t>
            </w:r>
          </w:p>
        </w:tc>
        <w:tc>
          <w:tcPr>
            <w:tcW w:type="dxa" w:w="2256"/>
          </w:tcPr>
          <w:p>
            <w:r>
              <w:t>63</w:t>
            </w:r>
          </w:p>
        </w:tc>
      </w:tr>
      <w:tr>
        <w:tc>
          <w:tcPr>
            <w:tcW w:type="dxa" w:w="2256"/>
          </w:tcPr>
          <w:p>
            <w:r>
              <w:t>0120</w:t>
            </w:r>
          </w:p>
        </w:tc>
        <w:tc>
          <w:tcPr>
            <w:tcW w:type="dxa" w:w="2256"/>
          </w:tcPr>
          <w:p>
            <w:r>
              <w:t>23</w:t>
            </w:r>
          </w:p>
        </w:tc>
        <w:tc>
          <w:tcPr>
            <w:tcW w:type="dxa" w:w="2256"/>
          </w:tcPr>
          <w:p>
            <w:r>
              <w:t>0.2727</w:t>
            </w:r>
          </w:p>
        </w:tc>
        <w:tc>
          <w:tcPr>
            <w:tcW w:type="dxa" w:w="2256"/>
          </w:tcPr>
          <w:p>
            <w:r>
              <w:t>42</w:t>
            </w:r>
          </w:p>
        </w:tc>
      </w:tr>
      <w:tr>
        <w:tc>
          <w:tcPr>
            <w:tcW w:type="dxa" w:w="2256"/>
          </w:tcPr>
          <w:p>
            <w:r>
              <w:t>0121</w:t>
            </w:r>
          </w:p>
        </w:tc>
        <w:tc>
          <w:tcPr>
            <w:tcW w:type="dxa" w:w="2256"/>
          </w:tcPr>
          <w:p>
            <w:r>
              <w:t>23</w:t>
            </w:r>
          </w:p>
        </w:tc>
        <w:tc>
          <w:tcPr>
            <w:tcW w:type="dxa" w:w="2256"/>
          </w:tcPr>
          <w:p>
            <w:r>
              <w:t>0.2314</w:t>
            </w:r>
          </w:p>
        </w:tc>
        <w:tc>
          <w:tcPr>
            <w:tcW w:type="dxa" w:w="2256"/>
          </w:tcPr>
          <w:p>
            <w:r>
              <w:t>59</w:t>
            </w:r>
          </w:p>
        </w:tc>
      </w:tr>
    </w:tbl>
    <w:p>
      <w:r>
        <w:t>La probabilità è condizionata sul prefisso: P(terzo evento | prefisso) = count(prefisso → terzo evento) / count(prefisso → qualsiasi evento). Il Count indica il numero di occorrenze della specifica transizione prefisso → terzo evento osservata nel campione.</w:t>
      </w:r>
    </w:p>
    <w:p>
      <w:r>
        <w:t>Dimensioni matrice: 6 prefissi × 12 terzi-eventi, 53/72 celle osservate (73.6%).</w:t>
      </w:r>
    </w:p>
    <w:p>
      <w:pPr>
        <w:pStyle w:val="Heading2"/>
      </w:pPr>
      <w:r>
        <w:t>3.2 Granularità 1 ora (DELTA=3600s)</w:t>
      </w:r>
    </w:p>
    <w:p>
      <w:r>
        <w:t>Parametri: L_MAX=3, DELTA=3600s, consecutive=YES, N=5000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38344" cy="28040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tm_transition_matrix_L3_1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38344" cy="2804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Tabella transizioni più frequenti: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b/>
              </w:rPr>
              <w:t>Prefisso</w:t>
            </w:r>
          </w:p>
        </w:tc>
        <w:tc>
          <w:tcPr>
            <w:tcW w:type="dxa" w:w="2256"/>
          </w:tcPr>
          <w:p>
            <w:r>
              <w:rPr>
                <w:b/>
              </w:rPr>
              <w:t>Terzo evento</w:t>
            </w:r>
          </w:p>
        </w:tc>
        <w:tc>
          <w:tcPr>
            <w:tcW w:type="dxa" w:w="2256"/>
          </w:tcPr>
          <w:p>
            <w:r>
              <w:rPr>
                <w:b/>
              </w:rPr>
              <w:t>Probabilità</w:t>
            </w:r>
          </w:p>
        </w:tc>
        <w:tc>
          <w:tcPr>
            <w:tcW w:type="dxa" w:w="2256"/>
          </w:tcPr>
          <w:p>
            <w:r>
              <w:rPr>
                <w:b/>
              </w:rPr>
              <w:t>Count</w:t>
            </w:r>
          </w:p>
        </w:tc>
      </w:tr>
      <w:tr>
        <w:tc>
          <w:tcPr>
            <w:tcW w:type="dxa" w:w="2256"/>
          </w:tcPr>
          <w:p>
            <w:r>
              <w:t>0101</w:t>
            </w:r>
          </w:p>
        </w:tc>
        <w:tc>
          <w:tcPr>
            <w:tcW w:type="dxa" w:w="2256"/>
          </w:tcPr>
          <w:p>
            <w:r>
              <w:t>01</w:t>
            </w:r>
          </w:p>
        </w:tc>
        <w:tc>
          <w:tcPr>
            <w:tcW w:type="dxa" w:w="2256"/>
          </w:tcPr>
          <w:p>
            <w:r>
              <w:t>0.4508</w:t>
            </w:r>
          </w:p>
        </w:tc>
        <w:tc>
          <w:tcPr>
            <w:tcW w:type="dxa" w:w="2256"/>
          </w:tcPr>
          <w:p>
            <w:r>
              <w:t>110</w:t>
            </w:r>
          </w:p>
        </w:tc>
      </w:tr>
      <w:tr>
        <w:tc>
          <w:tcPr>
            <w:tcW w:type="dxa" w:w="2256"/>
          </w:tcPr>
          <w:p>
            <w:r>
              <w:t>0110</w:t>
            </w:r>
          </w:p>
        </w:tc>
        <w:tc>
          <w:tcPr>
            <w:tcW w:type="dxa" w:w="2256"/>
          </w:tcPr>
          <w:p>
            <w:r>
              <w:t>01</w:t>
            </w:r>
          </w:p>
        </w:tc>
        <w:tc>
          <w:tcPr>
            <w:tcW w:type="dxa" w:w="2256"/>
          </w:tcPr>
          <w:p>
            <w:r>
              <w:t>0.3910</w:t>
            </w:r>
          </w:p>
        </w:tc>
        <w:tc>
          <w:tcPr>
            <w:tcW w:type="dxa" w:w="2256"/>
          </w:tcPr>
          <w:p>
            <w:r>
              <w:t>61</w:t>
            </w:r>
          </w:p>
        </w:tc>
      </w:tr>
      <w:tr>
        <w:tc>
          <w:tcPr>
            <w:tcW w:type="dxa" w:w="2256"/>
          </w:tcPr>
          <w:p>
            <w:r>
              <w:t>0102</w:t>
            </w:r>
          </w:p>
        </w:tc>
        <w:tc>
          <w:tcPr>
            <w:tcW w:type="dxa" w:w="2256"/>
          </w:tcPr>
          <w:p>
            <w:r>
              <w:t>03</w:t>
            </w:r>
          </w:p>
        </w:tc>
        <w:tc>
          <w:tcPr>
            <w:tcW w:type="dxa" w:w="2256"/>
          </w:tcPr>
          <w:p>
            <w:r>
              <w:t>0.3752</w:t>
            </w:r>
          </w:p>
        </w:tc>
        <w:tc>
          <w:tcPr>
            <w:tcW w:type="dxa" w:w="2256"/>
          </w:tcPr>
          <w:p>
            <w:r>
              <w:t>212</w:t>
            </w:r>
          </w:p>
        </w:tc>
      </w:tr>
      <w:tr>
        <w:tc>
          <w:tcPr>
            <w:tcW w:type="dxa" w:w="2256"/>
          </w:tcPr>
          <w:p>
            <w:r>
              <w:t>0120</w:t>
            </w:r>
          </w:p>
        </w:tc>
        <w:tc>
          <w:tcPr>
            <w:tcW w:type="dxa" w:w="2256"/>
          </w:tcPr>
          <w:p>
            <w:r>
              <w:t>23</w:t>
            </w:r>
          </w:p>
        </w:tc>
        <w:tc>
          <w:tcPr>
            <w:tcW w:type="dxa" w:w="2256"/>
          </w:tcPr>
          <w:p>
            <w:r>
              <w:t>0.2841</w:t>
            </w:r>
          </w:p>
        </w:tc>
        <w:tc>
          <w:tcPr>
            <w:tcW w:type="dxa" w:w="2256"/>
          </w:tcPr>
          <w:p>
            <w:r>
              <w:t>50</w:t>
            </w:r>
          </w:p>
        </w:tc>
      </w:tr>
      <w:tr>
        <w:tc>
          <w:tcPr>
            <w:tcW w:type="dxa" w:w="2256"/>
          </w:tcPr>
          <w:p>
            <w:r>
              <w:t>0121</w:t>
            </w:r>
          </w:p>
        </w:tc>
        <w:tc>
          <w:tcPr>
            <w:tcW w:type="dxa" w:w="2256"/>
          </w:tcPr>
          <w:p>
            <w:r>
              <w:t>23</w:t>
            </w:r>
          </w:p>
        </w:tc>
        <w:tc>
          <w:tcPr>
            <w:tcW w:type="dxa" w:w="2256"/>
          </w:tcPr>
          <w:p>
            <w:r>
              <w:t>0.2310</w:t>
            </w:r>
          </w:p>
        </w:tc>
        <w:tc>
          <w:tcPr>
            <w:tcW w:type="dxa" w:w="2256"/>
          </w:tcPr>
          <w:p>
            <w:r>
              <w:t>64</w:t>
            </w:r>
          </w:p>
        </w:tc>
      </w:tr>
    </w:tbl>
    <w:p>
      <w:r>
        <w:t>La probabilità è condizionata sul prefisso: P(terzo evento | prefisso) = count(prefisso → terzo evento) / count(prefisso → qualsiasi evento). Il Count indica il numero di occorrenze della specifica transizione prefisso → terzo evento osservata nel campione.</w:t>
      </w:r>
    </w:p>
    <w:p>
      <w:r>
        <w:t>Dimensioni matrice: 6 prefissi × 12 terzi-eventi, 54/72 celle osservate (75.0%).</w:t>
      </w:r>
    </w:p>
    <w:p>
      <w:pPr>
        <w:pStyle w:val="Heading2"/>
      </w:pPr>
      <w:r>
        <w:t>3.3 Confronto con la versione originale (L_MAX=4, DELTA=86400s)</w:t>
      </w:r>
    </w:p>
    <w:p>
      <w:r>
        <w:t>La versione originale (L_MAX=4, DELTA=86400s = 1 giorno) aveva la stessa forma (6×12, 53/72 celle osservate, 73.6%) e lo stesso insieme di prefissi dominanti (0101, 0102, 0110, 0120, 0121). Le probabilità osservate nelle nuove versioni differiscono solo leggermente da quella originale: differenza media assoluta 0.021 (max 0.088) per la versione a 30 minuti, e 0.018 (max 0.061) per la versione a 1 ora, su 53 celle confrontabili in entrambi i casi.</w:t>
      </w:r>
    </w:p>
    <w:p>
      <w:r>
        <w:t>Non si osservano differenze qualitative significative: cambia solo la piccola perturbazione numerica dovuta alla diversa finestra di memoria (DELTA) e al numero massimo di eventi per motif (L_MAX). L'unica variazione degna di nota è lo scambio del transizione dominante: nella versione originale la transizione più probabile è 0102→03 (P=0.41), mentre nelle versioni L_MAX=3 diventa 0101→01 (ripetizione dello stesso arco, P≈0.45), con 0102→03 che scende comunque al secondo/terzo posto. Questo indica che la scelta di L_MAX (3 vs 4) ha un impatto misurabile ma contenuto sull'ordinamento delle transizioni più probabili, non sulla struttura complessiva della matrice.</w:t>
      </w:r>
    </w:p>
    <w:p>
      <w:r>
        <w:t>Riferimento — top-5 transizioni della versione originale (L_MAX=4, DELTA=86400s):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b/>
              </w:rPr>
              <w:t>Prefisso</w:t>
            </w:r>
          </w:p>
        </w:tc>
        <w:tc>
          <w:tcPr>
            <w:tcW w:type="dxa" w:w="2256"/>
          </w:tcPr>
          <w:p>
            <w:r>
              <w:rPr>
                <w:b/>
              </w:rPr>
              <w:t>Terzo evento</w:t>
            </w:r>
          </w:p>
        </w:tc>
        <w:tc>
          <w:tcPr>
            <w:tcW w:type="dxa" w:w="2256"/>
          </w:tcPr>
          <w:p>
            <w:r>
              <w:rPr>
                <w:b/>
              </w:rPr>
              <w:t>Probabilità</w:t>
            </w:r>
          </w:p>
        </w:tc>
        <w:tc>
          <w:tcPr>
            <w:tcW w:type="dxa" w:w="2256"/>
          </w:tcPr>
          <w:p>
            <w:r>
              <w:rPr>
                <w:b/>
              </w:rPr>
              <w:t>Count</w:t>
            </w:r>
          </w:p>
        </w:tc>
      </w:tr>
      <w:tr>
        <w:tc>
          <w:tcPr>
            <w:tcW w:type="dxa" w:w="2256"/>
          </w:tcPr>
          <w:p>
            <w:r>
              <w:t>0102</w:t>
            </w:r>
          </w:p>
        </w:tc>
        <w:tc>
          <w:tcPr>
            <w:tcW w:type="dxa" w:w="2256"/>
          </w:tcPr>
          <w:p>
            <w:r>
              <w:t>03</w:t>
            </w:r>
          </w:p>
        </w:tc>
        <w:tc>
          <w:tcPr>
            <w:tcW w:type="dxa" w:w="2256"/>
          </w:tcPr>
          <w:p>
            <w:r>
              <w:t>0.4066</w:t>
            </w:r>
          </w:p>
        </w:tc>
        <w:tc>
          <w:tcPr>
            <w:tcW w:type="dxa" w:w="2256"/>
          </w:tcPr>
          <w:p>
            <w:r>
              <w:t>196</w:t>
            </w:r>
          </w:p>
        </w:tc>
      </w:tr>
      <w:tr>
        <w:tc>
          <w:tcPr>
            <w:tcW w:type="dxa" w:w="2256"/>
          </w:tcPr>
          <w:p>
            <w:r>
              <w:t>0101</w:t>
            </w:r>
          </w:p>
        </w:tc>
        <w:tc>
          <w:tcPr>
            <w:tcW w:type="dxa" w:w="2256"/>
          </w:tcPr>
          <w:p>
            <w:r>
              <w:t>01</w:t>
            </w:r>
          </w:p>
        </w:tc>
        <w:tc>
          <w:tcPr>
            <w:tcW w:type="dxa" w:w="2256"/>
          </w:tcPr>
          <w:p>
            <w:r>
              <w:t>0.3894</w:t>
            </w:r>
          </w:p>
        </w:tc>
        <w:tc>
          <w:tcPr>
            <w:tcW w:type="dxa" w:w="2256"/>
          </w:tcPr>
          <w:p>
            <w:r>
              <w:t>81</w:t>
            </w:r>
          </w:p>
        </w:tc>
      </w:tr>
      <w:tr>
        <w:tc>
          <w:tcPr>
            <w:tcW w:type="dxa" w:w="2256"/>
          </w:tcPr>
          <w:p>
            <w:r>
              <w:t>0110</w:t>
            </w:r>
          </w:p>
        </w:tc>
        <w:tc>
          <w:tcPr>
            <w:tcW w:type="dxa" w:w="2256"/>
          </w:tcPr>
          <w:p>
            <w:r>
              <w:t>01</w:t>
            </w:r>
          </w:p>
        </w:tc>
        <w:tc>
          <w:tcPr>
            <w:tcW w:type="dxa" w:w="2256"/>
          </w:tcPr>
          <w:p>
            <w:r>
              <w:t>0.3669</w:t>
            </w:r>
          </w:p>
        </w:tc>
        <w:tc>
          <w:tcPr>
            <w:tcW w:type="dxa" w:w="2256"/>
          </w:tcPr>
          <w:p>
            <w:r>
              <w:t>51</w:t>
            </w:r>
          </w:p>
        </w:tc>
      </w:tr>
      <w:tr>
        <w:tc>
          <w:tcPr>
            <w:tcW w:type="dxa" w:w="2256"/>
          </w:tcPr>
          <w:p>
            <w:r>
              <w:t>0120</w:t>
            </w:r>
          </w:p>
        </w:tc>
        <w:tc>
          <w:tcPr>
            <w:tcW w:type="dxa" w:w="2256"/>
          </w:tcPr>
          <w:p>
            <w:r>
              <w:t>23</w:t>
            </w:r>
          </w:p>
        </w:tc>
        <w:tc>
          <w:tcPr>
            <w:tcW w:type="dxa" w:w="2256"/>
          </w:tcPr>
          <w:p>
            <w:r>
              <w:t>0.3152</w:t>
            </w:r>
          </w:p>
        </w:tc>
        <w:tc>
          <w:tcPr>
            <w:tcW w:type="dxa" w:w="2256"/>
          </w:tcPr>
          <w:p>
            <w:r>
              <w:t>58</w:t>
            </w:r>
          </w:p>
        </w:tc>
      </w:tr>
      <w:tr>
        <w:tc>
          <w:tcPr>
            <w:tcW w:type="dxa" w:w="2256"/>
          </w:tcPr>
          <w:p>
            <w:r>
              <w:t>0121</w:t>
            </w:r>
          </w:p>
        </w:tc>
        <w:tc>
          <w:tcPr>
            <w:tcW w:type="dxa" w:w="2256"/>
          </w:tcPr>
          <w:p>
            <w:r>
              <w:t>23</w:t>
            </w:r>
          </w:p>
        </w:tc>
        <w:tc>
          <w:tcPr>
            <w:tcW w:type="dxa" w:w="2256"/>
          </w:tcPr>
          <w:p>
            <w:r>
              <w:t>0.2872</w:t>
            </w:r>
          </w:p>
        </w:tc>
        <w:tc>
          <w:tcPr>
            <w:tcW w:type="dxa" w:w="2256"/>
          </w:tcPr>
          <w:p>
            <w:r>
              <w:t>85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38344" cy="28352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38344" cy="2835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spacing w:after="150" w:before="300"/>
      </w:pPr>
      <w:r>
        <w:t xml:space="preserve">4. Analisi Granularità Temporale</w:t>
      </w:r>
    </w:p>
    <w:p>
      <w:pPr>
        <w:spacing w:after="150" w:before="150"/>
        <w:jc w:val="center"/>
      </w:pPr>
      <w:r>
        <w:drawing>
          <wp:inline distT="0" distB="0" distL="0" distR="0">
            <wp:extent cx="5040000" cy="190099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900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</w:pPr>
      <w:r>
        <w:rPr>
          <w:b/>
          <w:bCs/>
        </w:rPr>
        <w:t xml:space="preserve">Tabella statistiche IET: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00"/>
      </w:tblGrid>
      <w:tr>
        <w:trPr>
          <w:tblHeader/>
        </w:trPr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549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Statistica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549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Valore</w:t>
            </w:r>
          </w:p>
        </w:tc>
      </w:tr>
      <w:tr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Mediana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47s</w:t>
            </w:r>
          </w:p>
        </w:tc>
      </w:tr>
      <w:tr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Media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270s</w:t>
            </w:r>
          </w:p>
        </w:tc>
      </w:tr>
      <w:tr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P95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629s</w:t>
            </w:r>
          </w:p>
        </w:tc>
      </w:tr>
      <w:tr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Max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258.552s (3 giorni)</w:t>
            </w:r>
          </w:p>
        </w:tc>
      </w:tr>
    </w:tbl>
    <w:p>
      <w:pPr>
        <w:spacing w:after="150"/>
      </w:pPr>
      <w:r>
        <w:rPr>
          <w:b/>
          <w:bCs/>
        </w:rPr>
        <w:t xml:space="preserve">Tabella granularità candidate: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549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Granularità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549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Secondi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549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% IET entro 1 bucket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549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# bucket totali</w:t>
            </w:r>
          </w:p>
        </w:tc>
      </w:tr>
      <w:tr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30 minuti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1800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98.6%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747</w:t>
            </w:r>
          </w:p>
        </w:tc>
      </w:tr>
      <w:tr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 ora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3600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99.4%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374</w:t>
            </w:r>
          </w:p>
        </w:tc>
      </w:tr>
      <w:tr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 ore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21600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99.9%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63</w:t>
            </w:r>
          </w:p>
        </w:tc>
      </w:tr>
      <w:tr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12 ore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43200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100.0%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32</w:t>
            </w:r>
          </w:p>
        </w:tc>
      </w:tr>
      <w:tr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 giorno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86400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100.0%</w:t>
            </w:r>
          </w:p>
        </w:tc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16</w:t>
            </w:r>
          </w:p>
        </w:tc>
      </w:tr>
    </w:tbl>
    <w:p>
      <w:pPr>
        <w:spacing w:after="150"/>
      </w:pPr>
      <w:r>
        <w:t>Granularità candidate per EvoMine: 30 minuti (1800s) e 1 ora (3600s) — entrambe verranno testate in parallelo.</w:t>
      </w:r>
    </w:p>
    <w:p>
      <w:pPr>
        <w:spacing w:after="150"/>
      </w:pPr>
      <w:r>
        <w:t>Motivazione: la mediana degli IET (47s) suggerisce una granularità sub-oraria; sia 30 minuti (98.6% IET entro 1 bucket, 747 bucket totali) sia 1 ora (99.4% IET entro 1 bucket, 374 bucket totali) sono candidate valide. Per non anticipare una scelta che spetta alla correlatrice, il preprocessing GER, la run EvoMine, la transition matrix MTM (Sezione 3) e il confronto MTM↔EvoMine (Task 4) vengono prodotti per entrambe le granularità: la selezione finale sarà concordata nella prossima call.</w:t>
      </w:r>
    </w:p>
    <w:p>
      <w:pPr>
        <w:pStyle w:val="Heading1"/>
        <w:spacing w:after="150" w:before="300"/>
      </w:pPr>
      <w:r>
        <w:t>5. Stato e prossimi passi</w:t>
      </w:r>
    </w:p>
    <w:p>
      <w:pPr>
        <w:spacing w:after="80"/>
      </w:pPr>
      <w:r>
        <w:t>I passi originalmente previsti (run EvoMine con support=1, codifica canonica dei pattern, confronto diretto con la transition matrix MTM) sono stati completati nel Task 4.</w:t>
      </w:r>
    </w:p>
    <w:p>
      <w:pPr>
        <w:spacing w:after="80"/>
      </w:pPr>
      <w:r>
        <w:t>Unico punto ancora aperto: confermare con la correlatrice la scelta definitiva tra granularità 30 minuti (1800s) e 1 ora (3600s). I risultati qualitativi sono identici in entrambi i casi — cambia solo il tempo di esecuzione di EvoMine (197s vs 97s) e la scala assoluta dei supporti.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e499126a32755a7eef7561a678e32c06d6393ff.undefined"/><Relationship Id="rId8" Type="http://schemas.openxmlformats.org/officeDocument/2006/relationships/image" Target="media/e58dc050e2e112313ecec16c8395d70523340f1e.undefined"/><Relationship Id="rId9" Type="http://schemas.openxmlformats.org/officeDocument/2006/relationships/fontTable" Target="fontTable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2026-07-08T08:55:53.659Z</dcterms:created>
  <dcterms:modified xsi:type="dcterms:W3CDTF">2026-07-08T08:55:53.660Z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