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1d5cd8aec3b0d521a5fb355a99879c0353b7e8ba.undefined" ContentType="image/png"/>
  <Override PartName="/word/media/7c92000023a6b87a0d1f80a01ea1cd60e27f121c.undefined" ContentType="image/png"/>
  <Override PartName="/word/media/bf089b6ee0a7990a10e0bd2f51589753f4d4e462.undefined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rPr>
          <w:b/>
          <w:bCs/>
        </w:rPr>
        <w:t xml:space="preserve">Report Task 4 — Scalabilità e Confronto MTM ↔ EvoMine</w:t>
      </w:r>
    </w:p>
    <w:p>
      <w:pPr>
        <w:spacing w:after="60"/>
      </w:pPr>
      <w:r>
        <w:rPr>
          <w:i/>
          <w:iCs/>
        </w:rPr>
        <w:t xml:space="preserve">Tirocinio: "Profili evolutivi multilivello di reti complesse tramite temporal network motif"</w:t>
      </w:r>
    </w:p>
    <w:p>
      <w:pPr>
        <w:spacing w:after="300"/>
      </w:pPr>
      <w:r>
        <w:rPr>
          <w:b/>
          <w:bCs/>
        </w:rPr>
        <w:t xml:space="preserve">Data: 2026-07-08</w:t>
      </w:r>
      <w:r>
        <w:t xml:space="preserve">   |   </w:t>
      </w:r>
      <w:r>
        <w:rPr>
          <w:b/>
          <w:bCs/>
        </w:rPr>
        <w:t xml:space="preserve">Autore: Carlo Invernizzi</w:t>
      </w:r>
    </w:p>
    <w:p>
      <w:pPr>
        <w:pStyle w:val="Heading1"/>
        <w:spacing w:after="150" w:before="300"/>
      </w:pPr>
      <w:r>
        <w:t xml:space="preserve">1. Obiettivo</w:t>
      </w:r>
    </w:p>
    <w:p>
      <w:pPr>
        <w:spacing w:after="150"/>
      </w:pPr>
      <w:r>
        <w:t xml:space="preserve">Misurare i tempi di esecuzione di TMC/MTM al variare di dimensione del campione e granularità temporale, eseguire EvoMine con support=1 e confrontare i risultati con la transition matrix MTM.</w:t>
      </w:r>
    </w:p>
    <w:p>
      <w:pPr>
        <w:pStyle w:val="Heading1"/>
        <w:spacing w:after="150" w:before="300"/>
      </w:pPr>
      <w:r>
        <w:t xml:space="preserve">2. Riepilogo tempi di esecuzione Task 1-4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38344" cy="35950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ution_tim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8344" cy="3595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b/>
          <w:bCs/>
        </w:rPr>
        <w:t xml:space="preserve">Tabella completa tempi: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980"/>
        <w:gridCol w:w="1440"/>
        <w:gridCol w:w="1080"/>
        <w:gridCol w:w="2340"/>
        <w:gridCol w:w="1440"/>
      </w:tblGrid>
      <w:tr>
        <w:trPr>
          <w:tblHeader/>
        </w:trP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Algoritmo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Dataset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 eventi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Parametri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Tempo (s)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TMC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facebook_wall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3000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L_MAX=4, δ=86400s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437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TMC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CollegeMsg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5000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L_MAX=3, δ=86400s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244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TMC null (Time Shuffle)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facebook_wall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3000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L_MAX=4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429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TMC null (Edge Shuffle)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facebook_wall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3000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L_MAX=4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708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TMC null (Strogatz)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facebook_wall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3000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L_MAX=4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TMC null (Time Shuffle)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CollegeMsg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5000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L_MAX=3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42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TMC null (Edge Shuffle)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CollegeMsg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5000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L_MAX=3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102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TMC null (Strogatz)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CollegeMsg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5000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L_MAX=3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EvoMine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CollegeMsg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59835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s=20000, e=3, T=full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pochi secondi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TMC benchmark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CollegeMsg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5000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L_MAX=3, δ=86400s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0.071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EvoMine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CollegeMsg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5000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s=1, e=3, T=full, δ=3600s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97</w:t>
            </w:r>
          </w:p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1980"/>
          </w:tcPr>
          <w:p>
            <w:r>
              <w:t>EvoMine</w:t>
            </w:r>
          </w:p>
        </w:tc>
        <w:tc>
          <w:tcPr>
            <w:tcW w:type="dxa" w:w="1440"/>
          </w:tcPr>
          <w:p>
            <w:r>
              <w:t>CollegeMsg</w:t>
            </w:r>
          </w:p>
        </w:tc>
        <w:tc>
          <w:tcPr>
            <w:tcW w:type="dxa" w:w="1080"/>
          </w:tcPr>
          <w:p>
            <w:r>
              <w:t>5000</w:t>
            </w:r>
          </w:p>
        </w:tc>
        <w:tc>
          <w:tcPr>
            <w:tcW w:type="dxa" w:w="2340"/>
          </w:tcPr>
          <w:p>
            <w:r>
              <w:t>s=1, e=3, T=full, δ=1800s</w:t>
            </w:r>
          </w:p>
        </w:tc>
        <w:tc>
          <w:tcPr>
            <w:tcW w:type="dxa" w:w="1440"/>
          </w:tcPr>
          <w:p>
            <w:r>
              <w:t>197</w:t>
            </w:r>
          </w:p>
        </w:tc>
      </w:tr>
    </w:tbl>
    <w:p>
      <w:r>
        <w:t>Parametri EvoMine: -s = min_sup (soglia di supporto minima), -e = max_edges (numero massimo di archi nella postcondizione), -T full = MIB support completo, δ = granularità dei bucket temporali.</w:t>
      </w:r>
    </w:p>
    <w:p>
      <w:pPr>
        <w:spacing w:after="150"/>
      </w:pPr>
      <w:r>
        <w:rPr>
          <w:b/>
          <w:bCs/>
        </w:rPr>
        <w:t xml:space="preserve">Osservazioni: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TMC scala con O(N²): L_MAX ha impatto dominante (437s con L_MAX=4 vs 244s con L_MAX=3 nonostante N maggiore)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Edge Shuffle è il null model più lento (708s) per maggiore varietà strutturale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EvoMine con support=1 e granularità oraria: ~97s — sostenibile</w:t>
      </w:r>
    </w:p>
    <w:p>
      <w:pPr>
        <w:pStyle w:val="ListParagraph"/>
        <w:numPr>
          <w:ilvl w:val="0"/>
          <w:numId w:val="1"/>
        </w:numPr>
        <w:spacing w:after="80"/>
      </w:pPr>
      <w:r>
        <w:t>Confermato con il run effettivo (Fix 1): a granularità 30 minuti (747 bucket) EvoMine impiega ~197s, quasi il doppio dei ~97s a granularità oraria (374 bucket) — +103% di tempo, ma ancora ampiamente sostenibile per un singolo run su N=5000.</w:t>
      </w:r>
    </w:p>
    <w:p>
      <w:pPr>
        <w:pStyle w:val="Heading1"/>
        <w:spacing w:after="150" w:before="300"/>
      </w:pPr>
      <w:r>
        <w:t xml:space="preserve">3. Benchmark TMC — Scalabilità per N</w:t>
      </w:r>
    </w:p>
    <w:p>
      <w:pPr>
        <w:spacing w:after="150" w:before="150"/>
        <w:jc w:val="center"/>
      </w:pPr>
      <w:r>
        <w:drawing>
          <wp:inline distT="0" distB="0" distL="0" distR="0">
            <wp:extent cx="5040000" cy="210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1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Risultati: tempi da 0.004s (N=500) a 0.071s (N=5000), scaling superlineare ma trascurabile. Motif distinti stabili (57→60).</w:t>
      </w:r>
    </w:p>
    <w:p>
      <w:pPr>
        <w:pStyle w:val="Heading1"/>
        <w:spacing w:after="150" w:before="300"/>
      </w:pPr>
      <w:r>
        <w:t xml:space="preserve">4. Benchmark TMC — Scalabilità per DELTA</w:t>
      </w:r>
    </w:p>
    <w:p>
      <w:pPr>
        <w:spacing w:after="150" w:before="150"/>
        <w:jc w:val="center"/>
      </w:pPr>
      <w:r>
        <w:drawing>
          <wp:inline distT="0" distB="0" distL="0" distR="0">
            <wp:extent cx="5040000" cy="360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Risultati: motif distinti costanti a 60 per tutti i DELTA (1800s→86400s). Cambia solo il numero di istanze (7519→9771).</w:t>
      </w:r>
    </w:p>
    <w:p>
      <w:pPr>
        <w:spacing w:after="150"/>
      </w:pPr>
      <w:r>
        <w:rPr>
          <w:b/>
          <w:bCs/>
        </w:rPr>
        <w:t xml:space="preserve">Raccomandazione finale: N=5000, DELTA=1800s (30 min).</w:t>
      </w:r>
    </w:p>
    <w:p>
      <w:pPr>
        <w:pStyle w:val="Heading1"/>
        <w:spacing w:after="150" w:before="300"/>
      </w:pPr>
      <w:r>
        <w:t xml:space="preserve">5. Run EvoMine con support=1</w:t>
      </w:r>
    </w:p>
    <w:p>
      <w:r>
        <w:t>EvoMine viene eseguito con support=1 (nessun filtro sulla frequenza) su entrambe le granularità candidate (30 minuti e 1 ora), per allineare la scelta della granularità EvoMine a quella testata per MTM (Sezione 3 del report Task 3) e al benchmark di scalabilità TMC (Sezioni 3-4 di questo report).</w:t>
      </w:r>
    </w:p>
    <w:p>
      <w:pPr>
        <w:pStyle w:val="Heading2"/>
      </w:pPr>
      <w:r>
        <w:t>5.1 Granularità 30 minuti (DELTA=1800s)</w:t>
      </w:r>
    </w:p>
    <w:p>
      <w:r>
        <w:t>Dataset: collegemsg_ger_30min.txt (747 bucket totali, 388 non vuoti)</w:t>
      </w:r>
    </w:p>
    <w:p>
      <w:r>
        <w:t>Parametri: -s 1 -e 3 -T full -t -d</w:t>
      </w:r>
    </w:p>
    <w:p>
      <w:r>
        <w:t>Esecuzione via Docker (ubuntu:22.04)</w:t>
      </w:r>
    </w:p>
    <w:p>
      <w:r>
        <w:t>Tempo totale: 197 secondi</w:t>
      </w:r>
    </w:p>
    <w:p>
      <w:r>
        <w:t>Risultato: 62 regole GER trovate</w:t>
      </w:r>
    </w:p>
    <w:p>
      <w:pPr>
        <w:pStyle w:val="Heading2"/>
      </w:pPr>
      <w:r>
        <w:t>5.2 Granularità 1 ora (DELTA=3600s)</w:t>
      </w:r>
    </w:p>
    <w:p>
      <w:r>
        <w:t>Dataset: collegemsg_ger_1h.txt (374 bucket totali, 216 non vuoti)</w:t>
      </w:r>
    </w:p>
    <w:p>
      <w:r>
        <w:t>Parametri: -s 1 -e 3 -T full -t -d</w:t>
      </w:r>
    </w:p>
    <w:p>
      <w:r>
        <w:t>Esecuzione via Docker (ubuntu:22.04)</w:t>
      </w:r>
    </w:p>
    <w:p>
      <w:r>
        <w:t>Tempo totale: 97 secondi</w:t>
      </w:r>
    </w:p>
    <w:p>
      <w:r>
        <w:t>Risultato: 62 regole GER trovate</w:t>
      </w:r>
    </w:p>
    <w:p>
      <w:pPr>
        <w:pStyle w:val="Heading2"/>
      </w:pPr>
      <w:r>
        <w:t>5.3 Confronto tra granularità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38344" cy="22553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omine_granularity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8344" cy="2255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Il numero di regole GER trovate è identico (62) alle due granularità, così come il numero di regole strutturalmente comparabili con MTM (12) e quelle effettivamente trovate anche in MTM (10). Cambia solo il tempo di esecuzione (quasi raddoppiato a 30 minuti, coerentemente con il maggior numero di bucket) e i valori di supporto assoluto (più alti a 30 minuti, perché la stessa sequenza di eventi viene frammentata in più bucket, generando più occorrenze di pattern brevi).</w:t>
      </w:r>
    </w:p>
    <w:p>
      <w:pPr>
        <w:pStyle w:val="Heading1"/>
        <w:spacing w:after="150" w:before="300"/>
      </w:pPr>
      <w:r>
        <w:t xml:space="preserve">6. Codifica canonica e confronto MTM ↔ EvoMine</w:t>
      </w:r>
    </w:p>
    <w:p>
      <w:r>
        <w:t>Nota implementativa: label 3=body (precondizione), label 1=head (postcondizione) — verificato contro file_converters.py del Task 2. Ogni regola GER viene codificata con la stessa funzione encode_motif usata per MTM, per essere direttamente confrontabile.</w:t>
      </w:r>
    </w:p>
    <w:p>
      <w:r>
        <w:t>A seguito del Fix 2, il confronto viene fatto contro le transition matrix MTM realigned con L_MAX=3 (mtm_transition_matrix_L3_30min.csv e mtm_transition_matrix_L3_1h.csv — Sezione 3 del report Task 3), anziché contro la versione originale L_MAX=4/DELTA=86400s, per confrontare grandezze allineate su parametri e granularità.</w:t>
      </w:r>
    </w:p>
    <w:p>
      <w:r>
        <w:t>Risultati (identici per entrambe le granularità):</w:t>
      </w:r>
    </w:p>
    <w:p>
      <w:pPr>
        <w:pStyle w:val="ListParagraph"/>
        <w:numPr>
          <w:ilvl w:val="0"/>
          <w:numId w:val="1"/>
        </w:numPr>
      </w:pPr>
      <w:r>
        <w:t>62 regole GER codificate per granularità</w:t>
      </w:r>
    </w:p>
    <w:p>
      <w:pPr>
        <w:pStyle w:val="ListParagraph"/>
        <w:numPr>
          <w:ilvl w:val="0"/>
          <w:numId w:val="1"/>
        </w:numPr>
      </w:pPr>
      <w:r>
        <w:t>12 regole strutturalmente comparabili con MTM (2 archi body + 1 arco head)</w:t>
      </w:r>
    </w:p>
    <w:p>
      <w:pPr>
        <w:pStyle w:val="ListParagraph"/>
        <w:numPr>
          <w:ilvl w:val="0"/>
          <w:numId w:val="1"/>
        </w:numPr>
      </w:pPr>
      <w:r>
        <w:t>10 su 12 trovate anche in MTM</w:t>
      </w:r>
    </w:p>
    <w:p>
      <w:pPr>
        <w:pStyle w:val="ListParagraph"/>
        <w:numPr>
          <w:ilvl w:val="0"/>
          <w:numId w:val="1"/>
        </w:numPr>
      </w:pPr>
      <w:r>
        <w:t>52 regole esclusive di EvoMine (per lo più senza precondizione: body vuoto)</w:t>
      </w:r>
    </w:p>
    <w:p>
      <w:r>
        <w:t>Tabella affiancata — le 10 regole comparabili trovate in entrambe le versioni: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b/>
              </w:rPr>
              <w:t>Codice regola</w:t>
            </w:r>
          </w:p>
        </w:tc>
        <w:tc>
          <w:tcPr>
            <w:tcW w:type="dxa" w:w="1805"/>
          </w:tcPr>
          <w:p>
            <w:r>
              <w:rPr>
                <w:b/>
              </w:rPr>
              <w:t>Supporto (30 min)</w:t>
            </w:r>
          </w:p>
        </w:tc>
        <w:tc>
          <w:tcPr>
            <w:tcW w:type="dxa" w:w="1805"/>
          </w:tcPr>
          <w:p>
            <w:r>
              <w:rPr>
                <w:b/>
              </w:rPr>
              <w:t>Prob. MTM (30 min)</w:t>
            </w:r>
          </w:p>
        </w:tc>
        <w:tc>
          <w:tcPr>
            <w:tcW w:type="dxa" w:w="1805"/>
          </w:tcPr>
          <w:p>
            <w:r>
              <w:rPr>
                <w:b/>
              </w:rPr>
              <w:t>Supporto (1 ora)</w:t>
            </w:r>
          </w:p>
        </w:tc>
        <w:tc>
          <w:tcPr>
            <w:tcW w:type="dxa" w:w="1805"/>
          </w:tcPr>
          <w:p>
            <w:r>
              <w:rPr>
                <w:b/>
              </w:rPr>
              <w:t>Prob. MTM (1 ora)</w:t>
            </w:r>
          </w:p>
        </w:tc>
      </w:tr>
      <w:tr>
        <w:tc>
          <w:tcPr>
            <w:tcW w:type="dxa" w:w="1805"/>
          </w:tcPr>
          <w:p>
            <w:r>
              <w:t>0112→03</w:t>
            </w:r>
          </w:p>
        </w:tc>
        <w:tc>
          <w:tcPr>
            <w:tcW w:type="dxa" w:w="1805"/>
          </w:tcPr>
          <w:p>
            <w:r>
              <w:t>1764</w:t>
            </w:r>
          </w:p>
        </w:tc>
        <w:tc>
          <w:tcPr>
            <w:tcW w:type="dxa" w:w="1805"/>
          </w:tcPr>
          <w:p>
            <w:r>
              <w:t>0.0513</w:t>
            </w:r>
          </w:p>
        </w:tc>
        <w:tc>
          <w:tcPr>
            <w:tcW w:type="dxa" w:w="1805"/>
          </w:tcPr>
          <w:p>
            <w:r>
              <w:t>1466</w:t>
            </w:r>
          </w:p>
        </w:tc>
        <w:tc>
          <w:tcPr>
            <w:tcW w:type="dxa" w:w="1805"/>
          </w:tcPr>
          <w:p>
            <w:r>
              <w:t>0.0632</w:t>
            </w:r>
          </w:p>
        </w:tc>
      </w:tr>
      <w:tr>
        <w:tc>
          <w:tcPr>
            <w:tcW w:type="dxa" w:w="1805"/>
          </w:tcPr>
          <w:p>
            <w:r>
              <w:t>0102→03</w:t>
            </w:r>
          </w:p>
        </w:tc>
        <w:tc>
          <w:tcPr>
            <w:tcW w:type="dxa" w:w="1805"/>
          </w:tcPr>
          <w:p>
            <w:r>
              <w:t>1622</w:t>
            </w:r>
          </w:p>
        </w:tc>
        <w:tc>
          <w:tcPr>
            <w:tcW w:type="dxa" w:w="1805"/>
          </w:tcPr>
          <w:p>
            <w:r>
              <w:t>0.4269</w:t>
            </w:r>
          </w:p>
        </w:tc>
        <w:tc>
          <w:tcPr>
            <w:tcW w:type="dxa" w:w="1805"/>
          </w:tcPr>
          <w:p>
            <w:r>
              <w:t>1341</w:t>
            </w:r>
          </w:p>
        </w:tc>
        <w:tc>
          <w:tcPr>
            <w:tcW w:type="dxa" w:w="1805"/>
          </w:tcPr>
          <w:p>
            <w:r>
              <w:t>0.3752</w:t>
            </w:r>
          </w:p>
        </w:tc>
      </w:tr>
      <w:tr>
        <w:tc>
          <w:tcPr>
            <w:tcW w:type="dxa" w:w="1805"/>
          </w:tcPr>
          <w:p>
            <w:r>
              <w:t>0112→30</w:t>
            </w:r>
          </w:p>
        </w:tc>
        <w:tc>
          <w:tcPr>
            <w:tcW w:type="dxa" w:w="1805"/>
          </w:tcPr>
          <w:p>
            <w:r>
              <w:t>1609</w:t>
            </w:r>
          </w:p>
        </w:tc>
        <w:tc>
          <w:tcPr>
            <w:tcW w:type="dxa" w:w="1805"/>
          </w:tcPr>
          <w:p>
            <w:r>
              <w:t>0.0385</w:t>
            </w:r>
          </w:p>
        </w:tc>
        <w:tc>
          <w:tcPr>
            <w:tcW w:type="dxa" w:w="1805"/>
          </w:tcPr>
          <w:p>
            <w:r>
              <w:t>1359</w:t>
            </w:r>
          </w:p>
        </w:tc>
        <w:tc>
          <w:tcPr>
            <w:tcW w:type="dxa" w:w="1805"/>
          </w:tcPr>
          <w:p>
            <w:r>
              <w:t>0.0316</w:t>
            </w:r>
          </w:p>
        </w:tc>
      </w:tr>
      <w:tr>
        <w:tc>
          <w:tcPr>
            <w:tcW w:type="dxa" w:w="1805"/>
          </w:tcPr>
          <w:p>
            <w:r>
              <w:t>0110→20</w:t>
            </w:r>
          </w:p>
        </w:tc>
        <w:tc>
          <w:tcPr>
            <w:tcW w:type="dxa" w:w="1805"/>
          </w:tcPr>
          <w:p>
            <w:r>
              <w:t>1463</w:t>
            </w:r>
          </w:p>
        </w:tc>
        <w:tc>
          <w:tcPr>
            <w:tcW w:type="dxa" w:w="1805"/>
          </w:tcPr>
          <w:p>
            <w:r>
              <w:t>0.1895</w:t>
            </w:r>
          </w:p>
        </w:tc>
        <w:tc>
          <w:tcPr>
            <w:tcW w:type="dxa" w:w="1805"/>
          </w:tcPr>
          <w:p>
            <w:r>
              <w:t>1224</w:t>
            </w:r>
          </w:p>
        </w:tc>
        <w:tc>
          <w:tcPr>
            <w:tcW w:type="dxa" w:w="1805"/>
          </w:tcPr>
          <w:p>
            <w:r>
              <w:t>0.1667</w:t>
            </w:r>
          </w:p>
        </w:tc>
      </w:tr>
      <w:tr>
        <w:tc>
          <w:tcPr>
            <w:tcW w:type="dxa" w:w="1805"/>
          </w:tcPr>
          <w:p>
            <w:r>
              <w:t>0102→30</w:t>
            </w:r>
          </w:p>
        </w:tc>
        <w:tc>
          <w:tcPr>
            <w:tcW w:type="dxa" w:w="1805"/>
          </w:tcPr>
          <w:p>
            <w:r>
              <w:t>1397</w:t>
            </w:r>
          </w:p>
        </w:tc>
        <w:tc>
          <w:tcPr>
            <w:tcW w:type="dxa" w:w="1805"/>
          </w:tcPr>
          <w:p>
            <w:r>
              <w:t>0.0285</w:t>
            </w:r>
          </w:p>
        </w:tc>
        <w:tc>
          <w:tcPr>
            <w:tcW w:type="dxa" w:w="1805"/>
          </w:tcPr>
          <w:p>
            <w:r>
              <w:t>1178</w:t>
            </w:r>
          </w:p>
        </w:tc>
        <w:tc>
          <w:tcPr>
            <w:tcW w:type="dxa" w:w="1805"/>
          </w:tcPr>
          <w:p>
            <w:r>
              <w:t>0.0372</w:t>
            </w:r>
          </w:p>
        </w:tc>
      </w:tr>
      <w:tr>
        <w:tc>
          <w:tcPr>
            <w:tcW w:type="dxa" w:w="1805"/>
          </w:tcPr>
          <w:p>
            <w:r>
              <w:t>0110→02</w:t>
            </w:r>
          </w:p>
        </w:tc>
        <w:tc>
          <w:tcPr>
            <w:tcW w:type="dxa" w:w="1805"/>
          </w:tcPr>
          <w:p>
            <w:r>
              <w:t>852</w:t>
            </w:r>
          </w:p>
        </w:tc>
        <w:tc>
          <w:tcPr>
            <w:tcW w:type="dxa" w:w="1805"/>
          </w:tcPr>
          <w:p>
            <w:r>
              <w:t>0.0458</w:t>
            </w:r>
          </w:p>
        </w:tc>
        <w:tc>
          <w:tcPr>
            <w:tcW w:type="dxa" w:w="1805"/>
          </w:tcPr>
          <w:p>
            <w:r>
              <w:t>708</w:t>
            </w:r>
          </w:p>
        </w:tc>
        <w:tc>
          <w:tcPr>
            <w:tcW w:type="dxa" w:w="1805"/>
          </w:tcPr>
          <w:p>
            <w:r>
              <w:t>0.0385</w:t>
            </w:r>
          </w:p>
        </w:tc>
      </w:tr>
      <w:tr>
        <w:tc>
          <w:tcPr>
            <w:tcW w:type="dxa" w:w="1805"/>
          </w:tcPr>
          <w:p>
            <w:r>
              <w:t>0120→10</w:t>
            </w:r>
          </w:p>
        </w:tc>
        <w:tc>
          <w:tcPr>
            <w:tcW w:type="dxa" w:w="1805"/>
          </w:tcPr>
          <w:p>
            <w:r>
              <w:t>397</w:t>
            </w:r>
          </w:p>
        </w:tc>
        <w:tc>
          <w:tcPr>
            <w:tcW w:type="dxa" w:w="1805"/>
          </w:tcPr>
          <w:p>
            <w:r>
              <w:t>0.1364</w:t>
            </w:r>
          </w:p>
        </w:tc>
        <w:tc>
          <w:tcPr>
            <w:tcW w:type="dxa" w:w="1805"/>
          </w:tcPr>
          <w:p>
            <w:r>
              <w:t>326</w:t>
            </w:r>
          </w:p>
        </w:tc>
        <w:tc>
          <w:tcPr>
            <w:tcW w:type="dxa" w:w="1805"/>
          </w:tcPr>
          <w:p>
            <w:r>
              <w:t>0.1250</w:t>
            </w:r>
          </w:p>
        </w:tc>
      </w:tr>
      <w:tr>
        <w:tc>
          <w:tcPr>
            <w:tcW w:type="dxa" w:w="1805"/>
          </w:tcPr>
          <w:p>
            <w:r>
              <w:t>0102→10</w:t>
            </w:r>
          </w:p>
        </w:tc>
        <w:tc>
          <w:tcPr>
            <w:tcW w:type="dxa" w:w="1805"/>
          </w:tcPr>
          <w:p>
            <w:r>
              <w:t>390</w:t>
            </w:r>
          </w:p>
        </w:tc>
        <w:tc>
          <w:tcPr>
            <w:tcW w:type="dxa" w:w="1805"/>
          </w:tcPr>
          <w:p>
            <w:r>
              <w:t>0.0266</w:t>
            </w:r>
          </w:p>
        </w:tc>
        <w:tc>
          <w:tcPr>
            <w:tcW w:type="dxa" w:w="1805"/>
          </w:tcPr>
          <w:p>
            <w:r>
              <w:t>318</w:t>
            </w:r>
          </w:p>
        </w:tc>
        <w:tc>
          <w:tcPr>
            <w:tcW w:type="dxa" w:w="1805"/>
          </w:tcPr>
          <w:p>
            <w:r>
              <w:t>0.0248</w:t>
            </w:r>
          </w:p>
        </w:tc>
      </w:tr>
      <w:tr>
        <w:tc>
          <w:tcPr>
            <w:tcW w:type="dxa" w:w="1805"/>
          </w:tcPr>
          <w:p>
            <w:r>
              <w:t>0121→10</w:t>
            </w:r>
          </w:p>
        </w:tc>
        <w:tc>
          <w:tcPr>
            <w:tcW w:type="dxa" w:w="1805"/>
          </w:tcPr>
          <w:p>
            <w:r>
              <w:t>388</w:t>
            </w:r>
          </w:p>
        </w:tc>
        <w:tc>
          <w:tcPr>
            <w:tcW w:type="dxa" w:w="1805"/>
          </w:tcPr>
          <w:p>
            <w:r>
              <w:t>0.0863</w:t>
            </w:r>
          </w:p>
        </w:tc>
        <w:tc>
          <w:tcPr>
            <w:tcW w:type="dxa" w:w="1805"/>
          </w:tcPr>
          <w:p>
            <w:r>
              <w:t>318</w:t>
            </w:r>
          </w:p>
        </w:tc>
        <w:tc>
          <w:tcPr>
            <w:tcW w:type="dxa" w:w="1805"/>
          </w:tcPr>
          <w:p>
            <w:r>
              <w:t>0.0722</w:t>
            </w:r>
          </w:p>
        </w:tc>
      </w:tr>
      <w:tr>
        <w:tc>
          <w:tcPr>
            <w:tcW w:type="dxa" w:w="1805"/>
          </w:tcPr>
          <w:p>
            <w:r>
              <w:t>0112→10</w:t>
            </w:r>
          </w:p>
        </w:tc>
        <w:tc>
          <w:tcPr>
            <w:tcW w:type="dxa" w:w="1805"/>
          </w:tcPr>
          <w:p>
            <w:r>
              <w:t>365</w:t>
            </w:r>
          </w:p>
        </w:tc>
        <w:tc>
          <w:tcPr>
            <w:tcW w:type="dxa" w:w="1805"/>
          </w:tcPr>
          <w:p>
            <w:r>
              <w:t>0.1026</w:t>
            </w:r>
          </w:p>
        </w:tc>
        <w:tc>
          <w:tcPr>
            <w:tcW w:type="dxa" w:w="1805"/>
          </w:tcPr>
          <w:p>
            <w:r>
              <w:t>297</w:t>
            </w:r>
          </w:p>
        </w:tc>
        <w:tc>
          <w:tcPr>
            <w:tcW w:type="dxa" w:w="1805"/>
          </w:tcPr>
          <w:p>
            <w:r>
              <w:t>0.1053</w:t>
            </w:r>
          </w:p>
        </w:tc>
      </w:tr>
    </w:tbl>
    <w:p>
      <w:r>
        <w:t>Osservazione chiave: 0102→03 è la transizione dominante in MTM a entrambe le granularità (P=0.43 a 30min, P=0.38 a 1h — vedi Sezione 3.1/3.2 del report Task 3) ma ha supporto EvoMine solo moderato (1622 a 30min, 1341 a 1h): non è tra le regole a supporto più alto in assoluto perché quelle sono tutte regole senza precondizione (body vuoto, es. 01→ con supporto &gt;30.000), strutturalmente non comparabili con la matrice MTM.</w:t>
      </w:r>
    </w:p>
    <w:p>
      <w:r>
        <w:t>MTM misura probabilità condizionale (normalizzata sul prefisso), EvoMine misura frequenza assoluta (supporto). I due strumenti restano complementari a entrambe le granularità: la scelta tra 30 minuti e 1 ora non cambia la conclusione qualitativa del confronto, solo la scala numerica dei supporti.</w:t>
      </w:r>
    </w:p>
    <w:p>
      <w:pPr>
        <w:pStyle w:val="Heading1"/>
      </w:pPr>
      <w:r>
        <w:t>7. Evoluzione Strutturale del Dataset nel Tempo</w:t>
      </w:r>
    </w:p>
    <w:p>
      <w:r>
        <w:t>Per capire quanto velocemente evolve la rete CollegeMsg (5000 eventi, 530 nodi, 2020 coppie src→dst uniche), si analizzano per ciascun bucket temporale: numero di archi attivi, numero di nodi attivi, numero di nodi nuovi (prima apparizione), numero di archi nuovi e densità locale — con entrambe le granularità candidate.</w:t>
      </w:r>
    </w:p>
    <w:p>
      <w:pPr>
        <w:pStyle w:val="Heading2"/>
      </w:pPr>
      <w:r>
        <w:t>7.1 Granularità 30 minuti (DELTA=1800s)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38344" cy="14604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al_evolution_30m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8344" cy="1460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747 bucket totali. 50% dei nodi unici raggiunto al bucket 510 (t=255.0h dall’inizio, 68% del periodo). 90% dei nodi unici raggiunto al bucket 705 (t=352.5h, 94% del periodo). Picco di attività al bucket 707 (97 archi). Novelty rate medio: 62.1%.</w:t>
      </w:r>
    </w:p>
    <w:p>
      <w:pPr>
        <w:pStyle w:val="Heading2"/>
      </w:pPr>
      <w:r>
        <w:t>7.2 Granularità 1 ora (DELTA=3600s)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38344" cy="14604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al_evolution_1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8344" cy="1460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374 bucket totali. 50% dei nodi unici raggiunto al bucket 255 (t=255.0h dall’inizio, 68% del periodo). 90% dei nodi unici raggiunto al bucket 352 (t=352.0h, 94% del periodo). Picco di attività al bucket 353 (157 archi). Novelty rate medio: 67.1%.</w:t>
      </w:r>
    </w:p>
    <w:p>
      <w:pPr>
        <w:pStyle w:val="Heading2"/>
      </w:pPr>
      <w:r>
        <w:t>7.3 Osservazioni</w:t>
      </w:r>
    </w:p>
    <w:p>
      <w:pPr>
        <w:pStyle w:val="ListParagraph"/>
        <w:numPr>
          <w:ilvl w:val="0"/>
          <w:numId w:val="1"/>
        </w:numPr>
      </w:pPr>
      <w:r>
        <w:t>Il numero di nodi unici (530) e di coppie src→dst uniche (2020) è identico alle due granularità, come atteso — sono proprietà del dataset, non della discretizzazione.</w:t>
      </w:r>
    </w:p>
    <w:p>
      <w:pPr>
        <w:pStyle w:val="ListParagraph"/>
        <w:numPr>
          <w:ilvl w:val="0"/>
          <w:numId w:val="1"/>
        </w:numPr>
      </w:pPr>
      <w:r>
        <w:t>La rete raggiunge il 50% dei nodi unici molto presto in termini di eventi (evento 1315/5000, il 26% degli eventi) ma solo al 68% del tempo trascorso — l’attività non è uniforme nel tempo: i primi giorni hanno pochi eventi ma coprono già metà dei nodi, mentre segue un lungo periodo a bassa attività.</w:t>
      </w:r>
    </w:p>
    <w:p>
      <w:pPr>
        <w:pStyle w:val="ListParagraph"/>
        <w:numPr>
          <w:ilvl w:val="0"/>
          <w:numId w:val="1"/>
        </w:numPr>
      </w:pPr>
      <w:r>
        <w:t>Il picco di attività cade nell’ultimo ~5% del periodo osservato a entrambe le granularità (bucket 707/747 = 94.6% a 30min; bucket 353/374 = 94.4% a 1h) — un burst finale di messaggi.</w:t>
      </w:r>
    </w:p>
    <w:p>
      <w:pPr>
        <w:pStyle w:val="ListParagraph"/>
        <w:numPr>
          <w:ilvl w:val="0"/>
          <w:numId w:val="1"/>
        </w:numPr>
      </w:pPr>
      <w:r>
        <w:t>Il novelty rate parte altissimo nei primi bucket attivi (93-100%, quasi tutto è nuovo) e scende fino a ~48% negli ultimi bucket attivi — il burst finale riattiva prevalentemente coppie di nodi già note, non introduce molte connessioni nuove.</w:t>
      </w:r>
    </w:p>
    <w:p>
      <w:pPr>
        <w:pStyle w:val="ListParagraph"/>
        <w:numPr>
          <w:ilvl w:val="0"/>
          <w:numId w:val="1"/>
        </w:numPr>
      </w:pPr>
      <w:r>
        <w:t>Questa dinamica (crescita rapida iniziale + burst finale a bassa novità) rafforza la scelta di una granularità fine (30 minuti o 1 ora): con bucket più larghi (es. 1 giorno) il burst finale e il periodo di stasi verrebbero schiacciati nello stesso bucket, perdendo il segnale.</w:t>
      </w:r>
    </w:p>
    <w:p>
      <w:pPr>
        <w:pStyle w:val="Heading1"/>
        <w:spacing w:after="150" w:before="300"/>
      </w:pPr>
      <w:r>
        <w:t>8. Conclusioni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TMC scala bene fino a N=5000 (max 76ms) — nessun collo di bottiglia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EvoMine con support=1 termina in ~97s su granularità oraria — sostenibile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MTM e EvoMine sono complementari: MTM risponde "con che probabilità arriva questo terzo evento?", EvoMine risponde "quali sottografi evolvono più frequentemente?"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 un confronto più ampio serve estendere la transition matrix MTM a lunghezze diverse (1+1, 3+1, ecc.)</w:t>
      </w:r>
    </w:p>
    <w:p>
      <w:pPr>
        <w:pStyle w:val="ListParagraph"/>
        <w:numPr>
          <w:ilvl w:val="0"/>
          <w:numId w:val="1"/>
        </w:numPr>
      </w:pPr>
      <w:r>
        <w:t>I tre disallineamenti identificati (granularità EvoMine non allineata a MTM, L_MAX diverso tra MTM e i benchmark TMC, assenza di un’analisi di evoluzione strutturale) sono stati risolti in questa iterazione, testando sistematicamente sia 30 minuti sia 1 ora: la scelta finale tra le due verrà concordata con la correlatrice.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c92000023a6b87a0d1f80a01ea1cd60e27f121c.undefined"/><Relationship Id="rId8" Type="http://schemas.openxmlformats.org/officeDocument/2006/relationships/image" Target="media/bf089b6ee0a7990a10e0bd2f51589753f4d4e462.undefined"/><Relationship Id="rId9" Type="http://schemas.openxmlformats.org/officeDocument/2006/relationships/image" Target="media/1d5cd8aec3b0d521a5fb355a99879c0353b7e8ba.undefined"/><Relationship Id="rId10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2026-07-08T08:55:53.739Z</dcterms:created>
  <dcterms:modified xsi:type="dcterms:W3CDTF">2026-07-08T08:55:53.739Z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