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B3A5F"/>
          <w:sz w:val="28"/>
        </w:rPr>
        <w:t>Karnataka State Commission for Women (KSCW)</w:t>
      </w:r>
    </w:p>
    <w:p>
      <w:pPr>
        <w:jc w:val="center"/>
      </w:pPr>
      <w:r>
        <w:rPr>
          <w:rFonts w:ascii="Calibri" w:hAnsi="Calibri" w:eastAsia="Calibri"/>
          <w:b/>
          <w:color w:val="1B3A5F"/>
          <w:sz w:val="32"/>
        </w:rPr>
        <w:t>Complaint Management System (CMS)</w:t>
      </w:r>
    </w:p>
    <w:p>
      <w:pPr>
        <w:jc w:val="center"/>
      </w:pPr>
      <w:r>
        <w:rPr>
          <w:rFonts w:ascii="Calibri" w:hAnsi="Calibri" w:eastAsia="Calibri"/>
          <w:b/>
          <w:color w:val="1B3A5F"/>
          <w:sz w:val="26"/>
        </w:rPr>
        <w:t>Module &amp; Feature-wise Effort Estimate</w:t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2"/>
        </w:rPr>
        <w:t>Client Copy · Effort in person-hours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This estimate covers software feature implementation effort for the KSCW Complaint Management System (web and mobile), based on the agreed Statement of Work. Hours are person-hours for design-aligned build of the listed capabilities.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Hours do not include infrastructure procurement, SMS/email gateway commercial charges, CERT-In Safe-to-Host auditor fees beyond contractual inclusion, classroom training delivery logistics, physical digitization, or the 3-year warranty operations commercial envelope (quoted separately as lump-sum warranty under the IFQ).</w:t>
      </w:r>
    </w:p>
    <w:p>
      <w:pPr>
        <w:spacing w:before="240" w:after="120"/>
      </w:pPr>
      <w:r>
        <w:rPr>
          <w:rFonts w:ascii="Calibri" w:hAnsi="Calibri" w:eastAsia="Calibri"/>
          <w:b/>
          <w:color w:val="1B3A5F"/>
          <w:sz w:val="26"/>
        </w:rPr>
        <w:t>1. Summary Totals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8"/>
        <w:gridCol w:w="4968"/>
      </w:tblGrid>
      <w:tr>
        <w:tc>
          <w:tcPr>
            <w:tcW w:type="dxa" w:w="4968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968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Recommended go-live (Modules 01–07)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1012</w:t>
            </w:r>
          </w:p>
        </w:tc>
      </w:tr>
      <w:tr>
        <w:tc>
          <w:tcPr>
            <w:tcW w:type="dxa" w:w="4968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Optional / later enhancements (baseline)</w:t>
            </w:r>
          </w:p>
        </w:tc>
        <w:tc>
          <w:tcPr>
            <w:tcW w:type="dxa" w:w="4968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All estimated feature hours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1012</w:t>
            </w:r>
          </w:p>
        </w:tc>
      </w:tr>
    </w:tbl>
    <w:p/>
    <w:p>
      <w:pPr>
        <w:spacing w:before="240" w:after="120"/>
      </w:pPr>
      <w:r>
        <w:rPr>
          <w:rFonts w:ascii="Calibri" w:hAnsi="Calibri" w:eastAsia="Calibri"/>
          <w:b/>
          <w:color w:val="1B3A5F"/>
          <w:sz w:val="26"/>
        </w:rPr>
        <w:t>2. Module-wise Summary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656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656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656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Features</w:t>
            </w:r>
          </w:p>
        </w:tc>
        <w:tc>
          <w:tcPr>
            <w:tcW w:type="dxa" w:w="1656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1656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% of go-live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01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User Access &amp; Role Management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Shared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114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11.3%</w:t>
            </w:r>
          </w:p>
        </w:tc>
      </w:tr>
      <w:tr>
        <w:tc>
          <w:tcPr>
            <w:tcW w:type="dxa" w:w="165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02</w:t>
            </w:r>
          </w:p>
        </w:tc>
        <w:tc>
          <w:tcPr>
            <w:tcW w:type="dxa" w:w="165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Master Data &amp; System Configuration</w:t>
            </w:r>
          </w:p>
        </w:tc>
        <w:tc>
          <w:tcPr>
            <w:tcW w:type="dxa" w:w="165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Shared</w:t>
            </w:r>
          </w:p>
        </w:tc>
        <w:tc>
          <w:tcPr>
            <w:tcW w:type="dxa" w:w="165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type="dxa" w:w="165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135</w:t>
            </w:r>
          </w:p>
        </w:tc>
        <w:tc>
          <w:tcPr>
            <w:tcW w:type="dxa" w:w="165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13.3%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03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Multi-Channel Complaint Registration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Business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192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19.0%</w:t>
            </w:r>
          </w:p>
        </w:tc>
      </w:tr>
      <w:tr>
        <w:tc>
          <w:tcPr>
            <w:tcW w:type="dxa" w:w="165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04</w:t>
            </w:r>
          </w:p>
        </w:tc>
        <w:tc>
          <w:tcPr>
            <w:tcW w:type="dxa" w:w="165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Categorization, Auto-Routing &amp; Assignment</w:t>
            </w:r>
          </w:p>
        </w:tc>
        <w:tc>
          <w:tcPr>
            <w:tcW w:type="dxa" w:w="165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Business</w:t>
            </w:r>
          </w:p>
        </w:tc>
        <w:tc>
          <w:tcPr>
            <w:tcW w:type="dxa" w:w="165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165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127</w:t>
            </w:r>
          </w:p>
        </w:tc>
        <w:tc>
          <w:tcPr>
            <w:tcW w:type="dxa" w:w="165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12.5%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05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Workflow Automation, Escalation &amp; SLA Tracking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Business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176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17.4%</w:t>
            </w:r>
          </w:p>
        </w:tc>
      </w:tr>
      <w:tr>
        <w:tc>
          <w:tcPr>
            <w:tcW w:type="dxa" w:w="165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06</w:t>
            </w:r>
          </w:p>
        </w:tc>
        <w:tc>
          <w:tcPr>
            <w:tcW w:type="dxa" w:w="165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Notifications &amp; Alerts (SMS / Email)</w:t>
            </w:r>
          </w:p>
        </w:tc>
        <w:tc>
          <w:tcPr>
            <w:tcW w:type="dxa" w:w="165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Technical</w:t>
            </w:r>
          </w:p>
        </w:tc>
        <w:tc>
          <w:tcPr>
            <w:tcW w:type="dxa" w:w="165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165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103</w:t>
            </w:r>
          </w:p>
        </w:tc>
        <w:tc>
          <w:tcPr>
            <w:tcW w:type="dxa" w:w="165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10.2%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07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Dashboards, Analytics, Real-time Monitoring &amp; MIS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Business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165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16.3%</w:t>
            </w:r>
          </w:p>
        </w:tc>
      </w:tr>
      <w:tr>
        <w:tc>
          <w:tcPr>
            <w:tcW w:type="dxa" w:w="165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165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Total</w:t>
            </w:r>
          </w:p>
        </w:tc>
        <w:tc>
          <w:tcPr>
            <w:tcW w:type="dxa" w:w="165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165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31</w:t>
            </w:r>
          </w:p>
        </w:tc>
        <w:tc>
          <w:tcPr>
            <w:tcW w:type="dxa" w:w="165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1012</w:t>
            </w:r>
          </w:p>
        </w:tc>
        <w:tc>
          <w:tcPr>
            <w:tcW w:type="dxa" w:w="165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100%</w:t>
            </w:r>
          </w:p>
        </w:tc>
      </w:tr>
    </w:tbl>
    <w:p/>
    <w:p>
      <w:pPr>
        <w:spacing w:before="240" w:after="120"/>
      </w:pPr>
      <w:r>
        <w:rPr>
          <w:rFonts w:ascii="Calibri" w:hAnsi="Calibri" w:eastAsia="Calibri"/>
          <w:b/>
          <w:color w:val="1B3A5F"/>
          <w:sz w:val="26"/>
        </w:rPr>
        <w:t>3. Feature-wise Estimate</w:t>
      </w:r>
    </w:p>
    <w:p>
      <w:pPr>
        <w:spacing w:before="240" w:after="120"/>
      </w:pPr>
      <w:r>
        <w:rPr>
          <w:rFonts w:ascii="Calibri" w:hAnsi="Calibri" w:eastAsia="Calibri"/>
          <w:b/>
          <w:color w:val="1B3A5F"/>
          <w:sz w:val="24"/>
        </w:rPr>
        <w:t>01. User Access &amp; Role Management (114 hours)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484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484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484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F01-001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User Lifecycle Management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26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Create, update, activate / deactivate CMS users</w:t>
            </w:r>
          </w:p>
        </w:tc>
      </w:tr>
      <w:tr>
        <w:tc>
          <w:tcPr>
            <w:tcW w:type="dxa" w:w="24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F01-002</w:t>
            </w:r>
          </w:p>
        </w:tc>
        <w:tc>
          <w:tcPr>
            <w:tcW w:type="dxa" w:w="24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Role &amp; Permission Assignment</w:t>
            </w:r>
          </w:p>
        </w:tc>
        <w:tc>
          <w:tcPr>
            <w:tcW w:type="dxa" w:w="24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34</w:t>
            </w:r>
          </w:p>
        </w:tc>
        <w:tc>
          <w:tcPr>
            <w:tcW w:type="dxa" w:w="24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Configure Admin, Supervisor, Operator and FRS-defined roles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F01-003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Authentication &amp; Session Control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32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Secure login and session handling for web and mobile</w:t>
            </w:r>
          </w:p>
        </w:tc>
      </w:tr>
      <w:tr>
        <w:tc>
          <w:tcPr>
            <w:tcW w:type="dxa" w:w="24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F01-004</w:t>
            </w:r>
          </w:p>
        </w:tc>
        <w:tc>
          <w:tcPr>
            <w:tcW w:type="dxa" w:w="24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Access Audit</w:t>
            </w:r>
          </w:p>
        </w:tc>
        <w:tc>
          <w:tcPr>
            <w:tcW w:type="dxa" w:w="24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22</w:t>
            </w:r>
          </w:p>
        </w:tc>
        <w:tc>
          <w:tcPr>
            <w:tcW w:type="dxa" w:w="24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Record privileged user/role changes for audit</w:t>
            </w:r>
          </w:p>
        </w:tc>
      </w:tr>
    </w:tbl>
    <w:p/>
    <w:p>
      <w:pPr>
        <w:spacing w:before="240" w:after="120"/>
      </w:pPr>
      <w:r>
        <w:rPr>
          <w:rFonts w:ascii="Calibri" w:hAnsi="Calibri" w:eastAsia="Calibri"/>
          <w:b/>
          <w:color w:val="1B3A5F"/>
          <w:sz w:val="24"/>
        </w:rPr>
        <w:t>02. Master Data &amp; System Configuration (135 hours)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484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484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484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F02-001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Complaint Taxonomy Masters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26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Categories, sub-categories, departments, priorities</w:t>
            </w:r>
          </w:p>
        </w:tc>
      </w:tr>
      <w:tr>
        <w:tc>
          <w:tcPr>
            <w:tcW w:type="dxa" w:w="24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F02-002</w:t>
            </w:r>
          </w:p>
        </w:tc>
        <w:tc>
          <w:tcPr>
            <w:tcW w:type="dxa" w:w="24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Location / Jurisdiction Masters</w:t>
            </w:r>
          </w:p>
        </w:tc>
        <w:tc>
          <w:tcPr>
            <w:tcW w:type="dxa" w:w="24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28</w:t>
            </w:r>
          </w:p>
        </w:tc>
        <w:tc>
          <w:tcPr>
            <w:tcW w:type="dxa" w:w="24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Location hierarchy for routing and reporting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F02-003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SLA &amp; Escalation Configuration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39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SLA timers and escalation matrix parameters</w:t>
            </w:r>
          </w:p>
        </w:tc>
      </w:tr>
      <w:tr>
        <w:tc>
          <w:tcPr>
            <w:tcW w:type="dxa" w:w="24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F02-004</w:t>
            </w:r>
          </w:p>
        </w:tc>
        <w:tc>
          <w:tcPr>
            <w:tcW w:type="dxa" w:w="24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Notification Templates</w:t>
            </w:r>
          </w:p>
        </w:tc>
        <w:tc>
          <w:tcPr>
            <w:tcW w:type="dxa" w:w="24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24</w:t>
            </w:r>
          </w:p>
        </w:tc>
        <w:tc>
          <w:tcPr>
            <w:tcW w:type="dxa" w:w="24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SMS/Email templates and trigger mapping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F02-005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Status &amp; Parameter Configuration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18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Complaint statuses and system parameters</w:t>
            </w:r>
          </w:p>
        </w:tc>
      </w:tr>
    </w:tbl>
    <w:p/>
    <w:p>
      <w:pPr>
        <w:spacing w:before="240" w:after="120"/>
      </w:pPr>
      <w:r>
        <w:rPr>
          <w:rFonts w:ascii="Calibri" w:hAnsi="Calibri" w:eastAsia="Calibri"/>
          <w:b/>
          <w:color w:val="1B3A5F"/>
          <w:sz w:val="24"/>
        </w:rPr>
        <w:t>03. Multi-Channel Complaint Registration (192 hours)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484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484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484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F03-001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Web Complaint Registration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39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Complaint intake on web</w:t>
            </w:r>
          </w:p>
        </w:tc>
      </w:tr>
      <w:tr>
        <w:tc>
          <w:tcPr>
            <w:tcW w:type="dxa" w:w="24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F03-002</w:t>
            </w:r>
          </w:p>
        </w:tc>
        <w:tc>
          <w:tcPr>
            <w:tcW w:type="dxa" w:w="24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Mobile Complaint Registration</w:t>
            </w:r>
          </w:p>
        </w:tc>
        <w:tc>
          <w:tcPr>
            <w:tcW w:type="dxa" w:w="24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37</w:t>
            </w:r>
          </w:p>
        </w:tc>
        <w:tc>
          <w:tcPr>
            <w:tcW w:type="dxa" w:w="24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Complaint intake on mobile application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F03-003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Email Channel Intake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44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Register / ingest email-originated complaints</w:t>
            </w:r>
          </w:p>
        </w:tc>
      </w:tr>
      <w:tr>
        <w:tc>
          <w:tcPr>
            <w:tcW w:type="dxa" w:w="24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F03-004</w:t>
            </w:r>
          </w:p>
        </w:tc>
        <w:tc>
          <w:tcPr>
            <w:tcW w:type="dxa" w:w="24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Call-Center Intake</w:t>
            </w:r>
          </w:p>
        </w:tc>
        <w:tc>
          <w:tcPr>
            <w:tcW w:type="dxa" w:w="24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24</w:t>
            </w:r>
          </w:p>
        </w:tc>
        <w:tc>
          <w:tcPr>
            <w:tcW w:type="dxa" w:w="24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Operator registration of call-center complaints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F03-005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Complaint Acknowledgement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20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Unique reference and acknowledgement</w:t>
            </w:r>
          </w:p>
        </w:tc>
      </w:tr>
      <w:tr>
        <w:tc>
          <w:tcPr>
            <w:tcW w:type="dxa" w:w="24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F03-006</w:t>
            </w:r>
          </w:p>
        </w:tc>
        <w:tc>
          <w:tcPr>
            <w:tcW w:type="dxa" w:w="24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Attachment / Evidence Capture</w:t>
            </w:r>
          </w:p>
        </w:tc>
        <w:tc>
          <w:tcPr>
            <w:tcW w:type="dxa" w:w="24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28</w:t>
            </w:r>
          </w:p>
        </w:tc>
        <w:tc>
          <w:tcPr>
            <w:tcW w:type="dxa" w:w="24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Upload and link supporting documents/media</w:t>
            </w:r>
          </w:p>
        </w:tc>
      </w:tr>
    </w:tbl>
    <w:p/>
    <w:p>
      <w:pPr>
        <w:spacing w:before="240" w:after="120"/>
      </w:pPr>
      <w:r>
        <w:rPr>
          <w:rFonts w:ascii="Calibri" w:hAnsi="Calibri" w:eastAsia="Calibri"/>
          <w:b/>
          <w:color w:val="1B3A5F"/>
          <w:sz w:val="24"/>
        </w:rPr>
        <w:t>04. Categorization, Auto-Routing &amp; Assignment (127 hours)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484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484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484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F04-001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Complaint Categorization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22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Apply / update category and related classification</w:t>
            </w:r>
          </w:p>
        </w:tc>
      </w:tr>
      <w:tr>
        <w:tc>
          <w:tcPr>
            <w:tcW w:type="dxa" w:w="24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F04-002</w:t>
            </w:r>
          </w:p>
        </w:tc>
        <w:tc>
          <w:tcPr>
            <w:tcW w:type="dxa" w:w="24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Auto-Routing Engine</w:t>
            </w:r>
          </w:p>
        </w:tc>
        <w:tc>
          <w:tcPr>
            <w:tcW w:type="dxa" w:w="24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41</w:t>
            </w:r>
          </w:p>
        </w:tc>
        <w:tc>
          <w:tcPr>
            <w:tcW w:type="dxa" w:w="24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Route by department, priority, location rules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F04-003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Worklist &amp; Assignment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38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Supervisor / Operator queues and assignment</w:t>
            </w:r>
          </w:p>
        </w:tc>
      </w:tr>
      <w:tr>
        <w:tc>
          <w:tcPr>
            <w:tcW w:type="dxa" w:w="24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F04-004</w:t>
            </w:r>
          </w:p>
        </w:tc>
        <w:tc>
          <w:tcPr>
            <w:tcW w:type="dxa" w:w="24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Reassignment / Reclassification</w:t>
            </w:r>
          </w:p>
        </w:tc>
        <w:tc>
          <w:tcPr>
            <w:tcW w:type="dxa" w:w="24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26</w:t>
            </w:r>
          </w:p>
        </w:tc>
        <w:tc>
          <w:tcPr>
            <w:tcW w:type="dxa" w:w="24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Controlled transfer with history</w:t>
            </w:r>
          </w:p>
        </w:tc>
      </w:tr>
    </w:tbl>
    <w:p/>
    <w:p>
      <w:pPr>
        <w:spacing w:before="240" w:after="120"/>
      </w:pPr>
      <w:r>
        <w:rPr>
          <w:rFonts w:ascii="Calibri" w:hAnsi="Calibri" w:eastAsia="Calibri"/>
          <w:b/>
          <w:color w:val="1B3A5F"/>
          <w:sz w:val="24"/>
        </w:rPr>
        <w:t>05. Workflow Automation, Escalation &amp; SLA Tracking (176 hours)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484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484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484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F05-001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Workflow Stage Processing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45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Action complaints through configured stages</w:t>
            </w:r>
          </w:p>
        </w:tc>
      </w:tr>
      <w:tr>
        <w:tc>
          <w:tcPr>
            <w:tcW w:type="dxa" w:w="24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F05-002</w:t>
            </w:r>
          </w:p>
        </w:tc>
        <w:tc>
          <w:tcPr>
            <w:tcW w:type="dxa" w:w="24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Escalation Matrix Execution</w:t>
            </w:r>
          </w:p>
        </w:tc>
        <w:tc>
          <w:tcPr>
            <w:tcW w:type="dxa" w:w="24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28</w:t>
            </w:r>
          </w:p>
        </w:tc>
        <w:tc>
          <w:tcPr>
            <w:tcW w:type="dxa" w:w="24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Auto / manual escalation per configured matrix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F05-003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SLA Tracking &amp; Aging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41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SLA timers, breaches, and aging views</w:t>
            </w:r>
          </w:p>
        </w:tc>
      </w:tr>
      <w:tr>
        <w:tc>
          <w:tcPr>
            <w:tcW w:type="dxa" w:w="24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F05-004</w:t>
            </w:r>
          </w:p>
        </w:tc>
        <w:tc>
          <w:tcPr>
            <w:tcW w:type="dxa" w:w="24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Resolution &amp; Closure</w:t>
            </w:r>
          </w:p>
        </w:tc>
        <w:tc>
          <w:tcPr>
            <w:tcW w:type="dxa" w:w="24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28</w:t>
            </w:r>
          </w:p>
        </w:tc>
        <w:tc>
          <w:tcPr>
            <w:tcW w:type="dxa" w:w="24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Close / resolve with reasons and evidence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F05-005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Supervisor Oversight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34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Monitor pending, escalated, and breached items</w:t>
            </w:r>
          </w:p>
        </w:tc>
      </w:tr>
    </w:tbl>
    <w:p/>
    <w:p>
      <w:pPr>
        <w:spacing w:before="240" w:after="120"/>
      </w:pPr>
      <w:r>
        <w:rPr>
          <w:rFonts w:ascii="Calibri" w:hAnsi="Calibri" w:eastAsia="Calibri"/>
          <w:b/>
          <w:color w:val="1B3A5F"/>
          <w:sz w:val="24"/>
        </w:rPr>
        <w:t>06. Notifications &amp; Alerts (SMS / Email) (103 hours)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484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484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484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F06-001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SMS Notification Dispatch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40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SMS alerts for configured complaint events</w:t>
            </w:r>
          </w:p>
        </w:tc>
      </w:tr>
      <w:tr>
        <w:tc>
          <w:tcPr>
            <w:tcW w:type="dxa" w:w="24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F06-002</w:t>
            </w:r>
          </w:p>
        </w:tc>
        <w:tc>
          <w:tcPr>
            <w:tcW w:type="dxa" w:w="24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Email Notification Dispatch</w:t>
            </w:r>
          </w:p>
        </w:tc>
        <w:tc>
          <w:tcPr>
            <w:tcW w:type="dxa" w:w="24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32</w:t>
            </w:r>
          </w:p>
        </w:tc>
        <w:tc>
          <w:tcPr>
            <w:tcW w:type="dxa" w:w="24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Email alerts for configured complaint events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F06-003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Notification Log &amp; Retry Support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31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Delivery status tracking and operational retry</w:t>
            </w:r>
          </w:p>
        </w:tc>
      </w:tr>
    </w:tbl>
    <w:p/>
    <w:p>
      <w:pPr>
        <w:spacing w:before="240" w:after="120"/>
      </w:pPr>
      <w:r>
        <w:rPr>
          <w:rFonts w:ascii="Calibri" w:hAnsi="Calibri" w:eastAsia="Calibri"/>
          <w:b/>
          <w:color w:val="1B3A5F"/>
          <w:sz w:val="24"/>
        </w:rPr>
        <w:t>07. Dashboards, Analytics, Real-time Monitoring &amp; MIS (165 hours)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484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484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484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F07-001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Operational Dashboards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39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Role-based operational dashboard views</w:t>
            </w:r>
          </w:p>
        </w:tc>
      </w:tr>
      <w:tr>
        <w:tc>
          <w:tcPr>
            <w:tcW w:type="dxa" w:w="24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F07-002</w:t>
            </w:r>
          </w:p>
        </w:tc>
        <w:tc>
          <w:tcPr>
            <w:tcW w:type="dxa" w:w="24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Real-time Monitoring</w:t>
            </w:r>
          </w:p>
        </w:tc>
        <w:tc>
          <w:tcPr>
            <w:tcW w:type="dxa" w:w="24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46</w:t>
            </w:r>
          </w:p>
        </w:tc>
        <w:tc>
          <w:tcPr>
            <w:tcW w:type="dxa" w:w="24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Near-real-time intake, pending, SLA, escalations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F07-003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Analytics Views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41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Analytical summaries per approved design</w:t>
            </w:r>
          </w:p>
        </w:tc>
      </w:tr>
      <w:tr>
        <w:tc>
          <w:tcPr>
            <w:tcW w:type="dxa" w:w="24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F07-004</w:t>
            </w:r>
          </w:p>
        </w:tc>
        <w:tc>
          <w:tcPr>
            <w:tcW w:type="dxa" w:w="24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MIS Reports &amp; Export</w:t>
            </w:r>
          </w:p>
        </w:tc>
        <w:tc>
          <w:tcPr>
            <w:tcW w:type="dxa" w:w="24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39</w:t>
            </w:r>
          </w:p>
        </w:tc>
        <w:tc>
          <w:tcPr>
            <w:tcW w:type="dxa" w:w="24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Standard MIS reports with export</w:t>
            </w:r>
          </w:p>
        </w:tc>
      </w:tr>
    </w:tbl>
    <w:p/>
    <w:p>
      <w:pPr>
        <w:spacing w:before="240" w:after="120"/>
      </w:pPr>
      <w:r>
        <w:rPr>
          <w:rFonts w:ascii="Calibri" w:hAnsi="Calibri" w:eastAsia="Calibri"/>
          <w:b/>
          <w:color w:val="1B3A5F"/>
          <w:sz w:val="26"/>
        </w:rPr>
        <w:t>4. Effort Profile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12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3312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%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Business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660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65.2%</w:t>
            </w:r>
          </w:p>
        </w:tc>
      </w:tr>
      <w:tr>
        <w:tc>
          <w:tcPr>
            <w:tcW w:type="dxa" w:w="3312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Shared</w:t>
            </w:r>
          </w:p>
        </w:tc>
        <w:tc>
          <w:tcPr>
            <w:tcW w:type="dxa" w:w="3312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249</w:t>
            </w:r>
          </w:p>
        </w:tc>
        <w:tc>
          <w:tcPr>
            <w:tcW w:type="dxa" w:w="3312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24.6%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Technical / Integrations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103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10.2%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Highest-effort features (indicative):</w:t>
      </w:r>
    </w:p>
    <w:p>
      <w:pPr>
        <w:spacing w:after="120"/>
      </w:pPr>
      <w:r>
        <w:rPr>
          <w:rFonts w:ascii="Calibri" w:hAnsi="Calibri" w:eastAsia="Calibri"/>
          <w:b w:val="0"/>
          <w:sz w:val="20"/>
        </w:rPr>
        <w:t>• F07-002 — Real-time Monitoring (46 h) · Dashboards, Analytics, Real-time Monitoring &amp; MIS</w:t>
      </w:r>
    </w:p>
    <w:p>
      <w:pPr>
        <w:spacing w:after="120"/>
      </w:pPr>
      <w:r>
        <w:rPr>
          <w:rFonts w:ascii="Calibri" w:hAnsi="Calibri" w:eastAsia="Calibri"/>
          <w:b w:val="0"/>
          <w:sz w:val="20"/>
        </w:rPr>
        <w:t>• F05-001 — Workflow Stage Processing (45 h) · Workflow Automation, Escalation &amp; SLA Tracking</w:t>
      </w:r>
    </w:p>
    <w:p>
      <w:pPr>
        <w:spacing w:after="120"/>
      </w:pPr>
      <w:r>
        <w:rPr>
          <w:rFonts w:ascii="Calibri" w:hAnsi="Calibri" w:eastAsia="Calibri"/>
          <w:b w:val="0"/>
          <w:sz w:val="20"/>
        </w:rPr>
        <w:t>• F03-003 — Email Channel Intake (44 h) · Multi-Channel Complaint Registration</w:t>
      </w:r>
    </w:p>
    <w:p>
      <w:pPr>
        <w:spacing w:after="120"/>
      </w:pPr>
      <w:r>
        <w:rPr>
          <w:rFonts w:ascii="Calibri" w:hAnsi="Calibri" w:eastAsia="Calibri"/>
          <w:b w:val="0"/>
          <w:sz w:val="20"/>
        </w:rPr>
        <w:t>• F07-003 — Analytics Views (41 h) · Dashboards, Analytics, Real-time Monitoring &amp; MIS</w:t>
      </w:r>
    </w:p>
    <w:p>
      <w:pPr>
        <w:spacing w:after="120"/>
      </w:pPr>
      <w:r>
        <w:rPr>
          <w:rFonts w:ascii="Calibri" w:hAnsi="Calibri" w:eastAsia="Calibri"/>
          <w:b w:val="0"/>
          <w:sz w:val="20"/>
        </w:rPr>
        <w:t>• F05-003 — SLA Tracking &amp; Aging (41 h) · Workflow Automation, Escalation &amp; SLA Tracking</w:t>
      </w:r>
    </w:p>
    <w:p>
      <w:pPr>
        <w:spacing w:after="120"/>
      </w:pPr>
      <w:r>
        <w:rPr>
          <w:rFonts w:ascii="Calibri" w:hAnsi="Calibri" w:eastAsia="Calibri"/>
          <w:b w:val="0"/>
          <w:sz w:val="20"/>
        </w:rPr>
        <w:t>• F04-002 — Auto-Routing Engine (41 h) · Categorization, Auto-Routing &amp; Assignment</w:t>
      </w:r>
    </w:p>
    <w:p>
      <w:pPr>
        <w:spacing w:after="120"/>
      </w:pPr>
      <w:r>
        <w:rPr>
          <w:rFonts w:ascii="Calibri" w:hAnsi="Calibri" w:eastAsia="Calibri"/>
          <w:b w:val="0"/>
          <w:sz w:val="20"/>
        </w:rPr>
        <w:t>• F06-001 — SMS Notification Dispatch (40 h) · Notifications &amp; Alerts (SMS / Email)</w:t>
      </w:r>
    </w:p>
    <w:p>
      <w:pPr>
        <w:spacing w:after="120"/>
      </w:pPr>
      <w:r>
        <w:rPr>
          <w:rFonts w:ascii="Calibri" w:hAnsi="Calibri" w:eastAsia="Calibri"/>
          <w:b w:val="0"/>
          <w:sz w:val="20"/>
        </w:rPr>
        <w:t>• F07-004 — MIS Reports &amp; Export (39 h) · Dashboards, Analytics, Real-time Monitoring &amp; MIS</w:t>
      </w:r>
    </w:p>
    <w:p>
      <w:pPr>
        <w:spacing w:before="240" w:after="120"/>
      </w:pPr>
      <w:r>
        <w:rPr>
          <w:rFonts w:ascii="Calibri" w:hAnsi="Calibri" w:eastAsia="Calibri"/>
          <w:b/>
          <w:color w:val="1B3A5F"/>
          <w:sz w:val="26"/>
        </w:rPr>
        <w:t>5. Indicative Delivery Phasing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Per the IFQ / SOW, software delivery is planned within one (1) month from supply order (working-day milestones through commissioning), followed by a three (3) year warranty period. Feature hours above support the application build; warranty services are contractual sustainment and are not added into the feature-hour total.</w:t>
      </w:r>
    </w:p>
    <w:p>
      <w:pPr>
        <w:spacing w:before="240" w:after="120"/>
      </w:pPr>
      <w:r>
        <w:rPr>
          <w:rFonts w:ascii="Calibri" w:hAnsi="Calibri" w:eastAsia="Calibri"/>
          <w:b/>
          <w:color w:val="1B3A5F"/>
          <w:sz w:val="26"/>
        </w:rPr>
        <w:t>6. Not Included in Feature Hours</w:t>
      </w:r>
    </w:p>
    <w:p>
      <w:pPr>
        <w:spacing w:after="120"/>
      </w:pPr>
      <w:r>
        <w:rPr>
          <w:rFonts w:ascii="Calibri" w:hAnsi="Calibri" w:eastAsia="Calibri"/>
          <w:b w:val="0"/>
          <w:sz w:val="20"/>
        </w:rPr>
        <w:t>• Server / storage / network hardware (provided by KSCW)</w:t>
      </w:r>
    </w:p>
    <w:p>
      <w:pPr>
        <w:spacing w:after="120"/>
      </w:pPr>
      <w:r>
        <w:rPr>
          <w:rFonts w:ascii="Calibri" w:hAnsi="Calibri" w:eastAsia="Calibri"/>
          <w:b w:val="0"/>
          <w:sz w:val="20"/>
        </w:rPr>
        <w:t>• SMS and email gateway recurring commercial charges</w:t>
      </w:r>
    </w:p>
    <w:p>
      <w:pPr>
        <w:spacing w:after="120"/>
      </w:pPr>
      <w:r>
        <w:rPr>
          <w:rFonts w:ascii="Calibri" w:hAnsi="Calibri" w:eastAsia="Calibri"/>
          <w:b w:val="0"/>
          <w:sz w:val="20"/>
        </w:rPr>
        <w:t>• CERT-In empaneled auditor engagement logistics beyond IFQ inclusion</w:t>
      </w:r>
    </w:p>
    <w:p>
      <w:pPr>
        <w:spacing w:after="120"/>
      </w:pPr>
      <w:r>
        <w:rPr>
          <w:rFonts w:ascii="Calibri" w:hAnsi="Calibri" w:eastAsia="Calibri"/>
          <w:b w:val="0"/>
          <w:sz w:val="20"/>
        </w:rPr>
        <w:t>• Classroom training venue/logistics; video production studio costs if any</w:t>
      </w:r>
    </w:p>
    <w:p>
      <w:pPr>
        <w:spacing w:after="120"/>
      </w:pPr>
      <w:r>
        <w:rPr>
          <w:rFonts w:ascii="Calibri" w:hAnsi="Calibri" w:eastAsia="Calibri"/>
          <w:b w:val="0"/>
          <w:sz w:val="20"/>
        </w:rPr>
        <w:t>• Data cleansing ownership (KSCW); physical scanning of paper archives</w:t>
      </w:r>
    </w:p>
    <w:p>
      <w:pPr>
        <w:spacing w:after="120"/>
      </w:pPr>
      <w:r>
        <w:rPr>
          <w:rFonts w:ascii="Calibri" w:hAnsi="Calibri" w:eastAsia="Calibri"/>
          <w:b w:val="0"/>
          <w:sz w:val="20"/>
        </w:rPr>
        <w:t>• 3-year warranty helpdesk/uptime/redeployment commercial envelope (IFQ lump-sum warranty)</w:t>
      </w:r>
    </w:p>
    <w:p>
      <w:pPr>
        <w:spacing w:after="120"/>
      </w:pPr>
      <w:r>
        <w:rPr>
          <w:rFonts w:ascii="Calibri" w:hAnsi="Calibri" w:eastAsia="Calibri"/>
          <w:b w:val="0"/>
          <w:sz w:val="20"/>
        </w:rPr>
        <w:t>• Major scope added after FRS approval (change request)</w:t>
      </w:r>
    </w:p>
    <w:p>
      <w:pPr>
        <w:spacing w:before="240" w:after="120"/>
      </w:pPr>
      <w:r>
        <w:rPr>
          <w:rFonts w:ascii="Calibri" w:hAnsi="Calibri" w:eastAsia="Calibri"/>
          <w:b/>
          <w:color w:val="1B3A5F"/>
          <w:sz w:val="26"/>
        </w:rPr>
        <w:t>7. Key Planning Assumptions</w:t>
      </w:r>
    </w:p>
    <w:p>
      <w:pPr>
        <w:spacing w:after="120"/>
      </w:pPr>
      <w:r>
        <w:rPr>
          <w:rFonts w:ascii="Calibri" w:hAnsi="Calibri" w:eastAsia="Calibri"/>
          <w:b w:val="0"/>
          <w:sz w:val="20"/>
        </w:rPr>
        <w:t>1. Final field-level scope is locked by approved FRS, UI/UX &amp; Workflow Design, and Dashboard Design.</w:t>
      </w:r>
    </w:p>
    <w:p>
      <w:pPr>
        <w:spacing w:after="120"/>
      </w:pPr>
      <w:r>
        <w:rPr>
          <w:rFonts w:ascii="Calibri" w:hAnsi="Calibri" w:eastAsia="Calibri"/>
          <w:b w:val="0"/>
          <w:sz w:val="20"/>
        </w:rPr>
        <w:t>2. Access model is User → Role → Permissions (Admin, Supervisor, Operator + FRS roles).</w:t>
      </w:r>
    </w:p>
    <w:p>
      <w:pPr>
        <w:spacing w:after="120"/>
      </w:pPr>
      <w:r>
        <w:rPr>
          <w:rFonts w:ascii="Calibri" w:hAnsi="Calibri" w:eastAsia="Calibri"/>
          <w:b w:val="0"/>
          <w:sz w:val="20"/>
        </w:rPr>
        <w:t>3. Web and mobile applications are in scope; email and call-center intake as defined in FRS.</w:t>
      </w:r>
    </w:p>
    <w:p>
      <w:pPr>
        <w:spacing w:after="120"/>
      </w:pPr>
      <w:r>
        <w:rPr>
          <w:rFonts w:ascii="Calibri" w:hAnsi="Calibri" w:eastAsia="Calibri"/>
          <w:b w:val="0"/>
          <w:sz w:val="20"/>
        </w:rPr>
        <w:t>4. Infrastructure is provided by KSCW; agency provides requirement documents and deploys on that infrastructure.</w:t>
      </w:r>
    </w:p>
    <w:p>
      <w:pPr>
        <w:spacing w:after="120"/>
      </w:pPr>
      <w:r>
        <w:rPr>
          <w:rFonts w:ascii="Calibri" w:hAnsi="Calibri" w:eastAsia="Calibri"/>
          <w:b w:val="0"/>
          <w:sz w:val="20"/>
        </w:rPr>
        <w:t>5. SMS/Email gateway credentials and access are facilitated by KSCW / KEONICS.</w:t>
      </w:r>
    </w:p>
    <w:p>
      <w:pPr>
        <w:spacing w:after="120"/>
      </w:pPr>
      <w:r>
        <w:rPr>
          <w:rFonts w:ascii="Calibri" w:hAnsi="Calibri" w:eastAsia="Calibri"/>
          <w:b w:val="0"/>
          <w:sz w:val="20"/>
        </w:rPr>
        <w:t>6. Estimates assume enterprise-grade validation, security, logging, and test coverage for listed features.</w:t>
      </w:r>
    </w:p>
    <w:p>
      <w:pPr>
        <w:spacing w:after="120"/>
      </w:pPr>
      <w:r>
        <w:rPr>
          <w:rFonts w:ascii="Calibri" w:hAnsi="Calibri" w:eastAsia="Calibri"/>
          <w:b w:val="0"/>
          <w:sz w:val="20"/>
        </w:rPr>
        <w:t>7. One-month calendar is a contractual delivery window; staffing intensity must match the hour volume.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Disclaimer: Figures are indicative person-hour estimates for planning and commercial discussion. They are not a fixed-price bid unless expressly adopted in a commercial proposal / purchase order.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