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Calibri"/>
          <w:b/>
          <w:color w:val="1B3A5F"/>
          <w:sz w:val="28"/>
        </w:rPr>
        <w:t>Examination Module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Client Copy · Effort in person-hours</w:t>
      </w:r>
    </w:p>
    <w:p>
      <w:pPr>
        <w:jc w:val="center"/>
      </w:pPr>
      <w:r>
        <w:rPr>
          <w:rFonts w:ascii="Calibri" w:hAnsi="Calibri" w:eastAsia="Calibri"/>
          <w:b/>
          <w:color w:val="1B3A5F"/>
          <w:sz w:val="40"/>
        </w:rPr>
        <w:t>Module &amp; Feature-wise Effort Estimate</w:t>
      </w:r>
    </w:p>
    <w:p>
      <w:pPr>
        <w:jc w:val="center"/>
      </w:pPr>
      <w:r>
        <w:rPr>
          <w:rFonts w:ascii="Calibri" w:hAnsi="Calibri" w:eastAsia="Calibri"/>
          <w:b/>
          <w:color w:val="2E5A88"/>
          <w:sz w:val="32"/>
        </w:rPr>
        <w:t>test1</w:t>
      </w:r>
    </w:p>
    <w:p>
      <w:r>
        <w:br w:type="page"/>
      </w:r>
    </w:p>
    <w:p>
      <w:pPr>
        <w:pStyle w:val="Heading1"/>
        <w:spacing w:before="0" w:after="160" w:line="276" w:lineRule="auto"/>
      </w:pPr>
      <w:r>
        <w:t>1. Purpose</w:t>
      </w:r>
    </w:p>
    <w:p>
      <w:r>
        <w:t>This estimate sets out indicative person-hours to design, build, test and document test1 as covered in the functional scope. Hours cover application software for the modules listed below and assume enterprise-grade build quality with validation, error handling, logging and security.</w:t>
      </w:r>
    </w:p>
    <w:p>
      <w:pPr>
        <w:pStyle w:val="Heading1"/>
        <w:spacing w:before="0" w:after="160" w:line="276" w:lineRule="auto"/>
      </w:pPr>
      <w:r>
        <w:t>2. Summary totals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752"/>
        <w:gridCol w:w="4752"/>
      </w:tblGrid>
      <w:tr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52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Person-hours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 go-live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1,755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/ conditional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All-in (this baseline)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1,755</w:t>
            </w:r>
          </w:p>
        </w:tc>
      </w:tr>
      <w:tr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Features</w:t>
            </w:r>
          </w:p>
        </w:tc>
        <w:tc>
          <w:tcPr>
            <w:tcW w:type="dxa" w:w="4752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</w:tr>
      <w:tr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Modules</w:t>
            </w:r>
          </w:p>
        </w:tc>
        <w:tc>
          <w:tcPr>
            <w:tcW w:type="dxa" w:w="4752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</w:t>
            </w:r>
          </w:p>
        </w:tc>
      </w:tr>
    </w:tbl>
    <w:p/>
    <w:p>
      <w:pPr>
        <w:pStyle w:val="Heading1"/>
      </w:pPr>
      <w:r>
        <w:t>3. Module-wise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901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% of go-live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01. User and Role Management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137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7.8%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02. Examination Configuration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9.3%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03. Candidate Access and Registration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233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13.3%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04. Fee and Payment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120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6.8%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05. Scheduling Allocation and Hall Ticket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159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9.1%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06. Examination Centre Management and Enforcement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9.3%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07. Question Bank and Paper Generation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145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8.3%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08. Computer-Based Examination Conduct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151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8.6%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09. Results Certificates and Verification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7.0%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10. Dashboards Reports and Audit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168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9.6%</w:t>
            </w:r>
          </w:p>
        </w:tc>
      </w:tr>
      <w:tr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11. Integrations and Notifications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Technical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193</w:t>
            </w:r>
          </w:p>
        </w:tc>
        <w:tc>
          <w:tcPr>
            <w:tcW w:type="dxa" w:w="1901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11.0%</w:t>
            </w:r>
          </w:p>
        </w:tc>
      </w:tr>
      <w:tr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1,755</w:t>
            </w:r>
          </w:p>
        </w:tc>
        <w:tc>
          <w:tcPr>
            <w:tcW w:type="dxa" w:w="1901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</w:t>
            </w:r>
          </w:p>
        </w:tc>
      </w:tr>
    </w:tbl>
    <w:p/>
    <w:p>
      <w:pPr>
        <w:pStyle w:val="Heading1"/>
      </w:pPr>
      <w:r>
        <w:t>4. Feature-wise estimate</w:t>
      </w:r>
    </w:p>
    <w:p>
      <w:pPr>
        <w:pStyle w:val="Heading2"/>
      </w:pPr>
      <w:r>
        <w:t>01. User and Role Management — 137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 User Lifecycle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register and onboarding for admin and centre roles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 and Permission Matrix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Role-to-permission mapping for examination operations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F01-003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Staff Session and Access Control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Staff authentication and session handling</w:t>
            </w:r>
          </w:p>
        </w:tc>
      </w:tr>
    </w:tbl>
    <w:p/>
    <w:p>
      <w:pPr>
        <w:pStyle w:val="Heading2"/>
      </w:pPr>
      <w:r>
        <w:t>02. Examination Configuration — 163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Catalogue and Registration Windows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 catalogue and open registration control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Rules and Attempt Eligibility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and attempt eligibility configuration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F02-003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Rules and Examination Parameters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and conduct parameter setup</w:t>
            </w:r>
          </w:p>
        </w:tc>
      </w:tr>
    </w:tbl>
    <w:p/>
    <w:p>
      <w:pPr>
        <w:pStyle w:val="Heading2"/>
      </w:pPr>
      <w:r>
        <w:t>03. Candidate Access and Registration — 233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OTP-Based Candidate Login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OTP login for candidates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Government Employee Registration with KGID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KGID-driven government employee registration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Other Organisation Candidate Registration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registration for other organisation employees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Competent Authority Document Handling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Competent authority template and upload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F03-005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and Centre Preference Selection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 and dual centre preference capture</w:t>
            </w:r>
          </w:p>
        </w:tc>
      </w:tr>
    </w:tbl>
    <w:p/>
    <w:p>
      <w:pPr>
        <w:pStyle w:val="Heading2"/>
      </w:pPr>
      <w:r>
        <w:t>04. Fee and Payment — 120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Registration Fee Determination and Payment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Fee presentation and payment initiation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F04-002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Reconciliation Views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reconciliation register</w:t>
            </w:r>
          </w:p>
        </w:tc>
      </w:tr>
    </w:tbl>
    <w:p/>
    <w:p>
      <w:pPr>
        <w:pStyle w:val="Heading2"/>
      </w:pPr>
      <w:r>
        <w:t>05. Scheduling Allocation and Hall Ticket — 159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Scheduling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schedule planning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Allocation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allocation against preferences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F05-003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Hall Ticket Generation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Digital hall ticket issuance</w:t>
            </w:r>
          </w:p>
        </w:tc>
      </w:tr>
    </w:tbl>
    <w:p/>
    <w:p>
      <w:pPr>
        <w:pStyle w:val="Heading2"/>
      </w:pPr>
      <w:r>
        <w:t>06. Examination Centre Management and Enforcement — 163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Centre Master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centre master data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Authorised Centre Access Enforcement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Centre-only access validation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F06-003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Session Activation and Invigilator Controls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Invigilator session activation</w:t>
            </w:r>
          </w:p>
        </w:tc>
      </w:tr>
    </w:tbl>
    <w:p/>
    <w:p>
      <w:pPr>
        <w:pStyle w:val="Heading2"/>
      </w:pPr>
      <w:r>
        <w:t>07. Question Bank and Paper Generation — 145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Bank Maintenance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bank administration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Random Paper Generation and Versions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Randomised multi-version papers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F07-003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 and Option Order Randomisation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Order randomisation controls</w:t>
            </w:r>
          </w:p>
        </w:tc>
      </w:tr>
    </w:tbl>
    <w:p/>
    <w:p>
      <w:pPr>
        <w:pStyle w:val="Heading2"/>
      </w:pPr>
      <w:r>
        <w:t>08. Computer-Based Examination Conduct — 151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Credential Issuance and Exam Login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credential lifecycle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Interface and Timer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CBT delivery and timer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F08-003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Security Activity and Submission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 logging and submission</w:t>
            </w:r>
          </w:p>
        </w:tc>
      </w:tr>
    </w:tbl>
    <w:p/>
    <w:p>
      <w:pPr>
        <w:pStyle w:val="Heading2"/>
      </w:pPr>
      <w:r>
        <w:t>09. Results Certificates and Verification — 123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Automatic Evaluation and Result Publication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and result views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 Generation with QR Code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Certificate issuance with QR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F09-003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Online Certificate Verification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QR verification</w:t>
            </w:r>
          </w:p>
        </w:tc>
      </w:tr>
    </w:tbl>
    <w:p/>
    <w:p>
      <w:pPr>
        <w:pStyle w:val="Heading2"/>
      </w:pPr>
      <w:r>
        <w:t>10. Dashboards Reports and Audit — 168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Dashboard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Administrator operational dashboard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Examination Centre Dashboard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39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Centre dashboard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Operational Reports and Export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Standard report catalogue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F10-004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Trail Inquiry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43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log inquiry</w:t>
            </w:r>
          </w:p>
        </w:tc>
      </w:tr>
    </w:tbl>
    <w:p/>
    <w:p>
      <w:pPr>
        <w:pStyle w:val="Heading2"/>
      </w:pPr>
      <w:r>
        <w:t>11. Integrations and Notifications — 193 hours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ID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Feature Name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376"/>
            <w:shd w:fill="1B3A5F" w:val="clear"/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 Integration Service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KGID lookup integration</w:t>
            </w:r>
          </w:p>
        </w:tc>
      </w:tr>
      <w:tr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F11-002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 Integration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85</w:t>
            </w:r>
          </w:p>
        </w:tc>
        <w:tc>
          <w:tcPr>
            <w:tcW w:type="dxa" w:w="2376"/>
            <w:shd w:fill="F3F6FA" w:val="clear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Payment gateway adapter</w:t>
            </w:r>
          </w:p>
        </w:tc>
      </w:tr>
      <w:tr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F11-003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Delivery Service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57</w:t>
            </w:r>
          </w:p>
        </w:tc>
        <w:tc>
          <w:tcPr>
            <w:tcW w:type="dxa" w:w="2376"/>
          </w:tcPr>
          <w:p>
            <w:pPr>
              <w:spacing w:before="40" w:after="40" w:line="252" w:lineRule="auto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Multi-channel notifications</w:t>
            </w:r>
          </w:p>
        </w:tc>
      </w:tr>
    </w:tbl>
    <w:p/>
    <w:p>
      <w:pPr>
        <w:pStyle w:val="Heading1"/>
      </w:pPr>
      <w:r>
        <w:t>5. Items not included in feature hours</w:t>
      </w:r>
    </w:p>
    <w:p>
      <w:pPr>
        <w:pStyle w:val="ListBullet"/>
      </w:pPr>
      <w:r>
        <w:t>Hosting infrastructure and annual maintenance (AMC), unless separately ordered.</w:t>
      </w:r>
    </w:p>
    <w:p>
      <w:pPr>
        <w:pStyle w:val="ListBullet"/>
      </w:pPr>
      <w:r>
        <w:t>Hardware procurement and deployment tickets.</w:t>
      </w:r>
    </w:p>
    <w:p>
      <w:pPr>
        <w:pStyle w:val="ListBullet"/>
      </w:pPr>
      <w:r>
        <w:t>Classroom training and scanning bureau operations, unless separately ordered.</w:t>
      </w:r>
    </w:p>
    <w:p>
      <w:pPr>
        <w:pStyle w:val="Heading1"/>
      </w:pPr>
      <w:r>
        <w:t>6. Planning assumptions</w:t>
      </w:r>
    </w:p>
    <w:p>
      <w:pPr>
        <w:pStyle w:val="ListBullet"/>
      </w:pPr>
      <w:r>
        <w:t>KGID and payment gateway interfaces must be available for integration and test environments.</w:t>
      </w:r>
    </w:p>
    <w:p>
      <w:pPr>
        <w:pStyle w:val="ListBullet"/>
      </w:pPr>
      <w:r>
        <w:t>Authorised examination centre enforcement (network, device or centre authentication) will be agreed with the department.</w:t>
      </w:r>
    </w:p>
    <w:p>
      <w:pPr>
        <w:pStyle w:val="ListBullet"/>
      </w:pPr>
      <w:r>
        <w:t>Notification channels (SMS, email) and templates will be confirmed during requirements finalisation.</w:t>
      </w:r>
    </w:p>
    <w:p>
      <w:pPr>
        <w:pStyle w:val="ListBullet"/>
      </w:pPr>
      <w:r>
        <w:t>Hours are indicative person-hours for planning and commercial discussion.</w:t>
      </w:r>
    </w:p>
    <w:p>
      <w:pPr>
        <w:pStyle w:val="Heading1"/>
      </w:pPr>
      <w:r>
        <w:t>7. Disclaimer</w:t>
      </w:r>
    </w:p>
    <w:p>
      <w:r>
        <w:t>These figures are indicative person-hours for planning and commercial discussion. They assume a production-quality build with validation, error handling, logging, security and unit testing.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555555"/>
        <w:sz w:val="16"/>
      </w:rPr>
      <w:t xml:space="preserve"> KSAAD | test1 | Page </w:t>
    </w:r>
    <w:r>
      <w:rPr>
        <w:rFonts w:ascii="Calibri" w:hAnsi="Calibri" w:eastAsia="Calibri"/>
        <w:b w:val="0"/>
        <w:color w:val="55555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