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2"/>
        </w:rPr>
        <w:t>Inventech Info Solutions Pvt. Ltd.</w:t>
      </w:r>
    </w:p>
    <w:p>
      <w:pPr>
        <w:jc w:val="center"/>
      </w:pPr>
      <w:r>
        <w:rPr>
          <w:b/>
          <w:color w:val="1F3864"/>
          <w:sz w:val="40"/>
        </w:rPr>
        <w:t>Data Privacy Policy</w:t>
      </w:r>
    </w:p>
    <w:p>
      <w:pPr>
        <w:pStyle w:val="Heading1"/>
      </w:pPr>
      <w:r>
        <w:t>Document control</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835"/>
            <w:shd w:val="clear" w:color="auto" w:fill="1F3864"/>
          </w:tcPr>
          <w:p>
            <w:pPr>
              <w:spacing w:after="0"/>
            </w:pPr>
            <w:r/>
            <w:r>
              <w:rPr>
                <w:b/>
                <w:i w:val="0"/>
                <w:color w:val="FFFFFF"/>
              </w:rPr>
              <w:t>Item</w:t>
            </w:r>
          </w:p>
        </w:tc>
        <w:tc>
          <w:tcPr>
            <w:tcW w:type="dxa" w:w="6803"/>
            <w:shd w:val="clear" w:color="auto" w:fill="1F3864"/>
          </w:tcPr>
          <w:p>
            <w:pPr>
              <w:spacing w:after="0"/>
            </w:pPr>
            <w:r/>
            <w:r>
              <w:rPr>
                <w:b/>
                <w:i w:val="0"/>
                <w:color w:val="FFFFFF"/>
              </w:rPr>
              <w:t>Details</w:t>
            </w:r>
          </w:p>
        </w:tc>
      </w:tr>
      <w:tr>
        <w:tc>
          <w:tcPr>
            <w:tcW w:type="dxa" w:w="2835"/>
          </w:tcPr>
          <w:p>
            <w:pPr>
              <w:spacing w:after="0"/>
            </w:pPr>
            <w:r/>
            <w:r>
              <w:rPr>
                <w:b w:val="0"/>
                <w:i w:val="0"/>
              </w:rPr>
              <w:t>Document title</w:t>
            </w:r>
          </w:p>
        </w:tc>
        <w:tc>
          <w:tcPr>
            <w:tcW w:type="dxa" w:w="6803"/>
          </w:tcPr>
          <w:p>
            <w:pPr>
              <w:spacing w:after="0"/>
            </w:pPr>
            <w:r/>
            <w:r>
              <w:rPr>
                <w:b w:val="0"/>
                <w:i w:val="0"/>
              </w:rPr>
              <w:t>Data Privacy Policy</w:t>
            </w:r>
          </w:p>
        </w:tc>
      </w:tr>
      <w:tr>
        <w:tc>
          <w:tcPr>
            <w:tcW w:type="dxa" w:w="2835"/>
          </w:tcPr>
          <w:p>
            <w:pPr>
              <w:spacing w:after="0"/>
            </w:pPr>
            <w:r/>
            <w:r>
              <w:rPr>
                <w:b w:val="0"/>
                <w:i w:val="0"/>
              </w:rPr>
              <w:t>Document ID</w:t>
            </w:r>
          </w:p>
        </w:tc>
        <w:tc>
          <w:tcPr>
            <w:tcW w:type="dxa" w:w="6803"/>
          </w:tcPr>
          <w:p>
            <w:pPr>
              <w:spacing w:after="0"/>
            </w:pPr>
            <w:r/>
            <w:r>
              <w:rPr>
                <w:b w:val="0"/>
                <w:i w:val="0"/>
              </w:rPr>
              <w:t>IIS-POL-PR-01</w:t>
            </w:r>
          </w:p>
        </w:tc>
      </w:tr>
      <w:tr>
        <w:tc>
          <w:tcPr>
            <w:tcW w:type="dxa" w:w="2835"/>
          </w:tcPr>
          <w:p>
            <w:pPr>
              <w:spacing w:after="0"/>
            </w:pPr>
            <w:r/>
            <w:r>
              <w:rPr>
                <w:b w:val="0"/>
                <w:i w:val="0"/>
              </w:rPr>
              <w:t>Version</w:t>
            </w:r>
          </w:p>
        </w:tc>
        <w:tc>
          <w:tcPr>
            <w:tcW w:type="dxa" w:w="6803"/>
          </w:tcPr>
          <w:p>
            <w:pPr>
              <w:spacing w:after="0"/>
            </w:pPr>
            <w:r/>
            <w:r>
              <w:rPr>
                <w:b w:val="0"/>
                <w:i w:val="0"/>
              </w:rPr>
              <w:t>0.1 (draft for management review)</w:t>
            </w:r>
          </w:p>
        </w:tc>
      </w:tr>
      <w:tr>
        <w:tc>
          <w:tcPr>
            <w:tcW w:type="dxa" w:w="2835"/>
          </w:tcPr>
          <w:p>
            <w:pPr>
              <w:spacing w:after="0"/>
            </w:pPr>
            <w:r/>
            <w:r>
              <w:rPr>
                <w:b w:val="0"/>
                <w:i w:val="0"/>
              </w:rPr>
              <w:t>Classification</w:t>
            </w:r>
          </w:p>
        </w:tc>
        <w:tc>
          <w:tcPr>
            <w:tcW w:type="dxa" w:w="6803"/>
          </w:tcPr>
          <w:p>
            <w:pPr>
              <w:spacing w:after="0"/>
            </w:pPr>
            <w:r/>
            <w:r>
              <w:rPr>
                <w:b w:val="0"/>
                <w:i w:val="0"/>
              </w:rPr>
              <w:t>Internal</w:t>
            </w:r>
          </w:p>
        </w:tc>
      </w:tr>
      <w:tr>
        <w:tc>
          <w:tcPr>
            <w:tcW w:type="dxa" w:w="2835"/>
          </w:tcPr>
          <w:p>
            <w:pPr>
              <w:spacing w:after="0"/>
            </w:pPr>
            <w:r/>
            <w:r>
              <w:rPr>
                <w:b w:val="0"/>
                <w:i w:val="0"/>
              </w:rPr>
              <w:t>Document owner</w:t>
            </w:r>
          </w:p>
        </w:tc>
        <w:tc>
          <w:tcPr>
            <w:tcW w:type="dxa" w:w="6803"/>
          </w:tcPr>
          <w:p>
            <w:pPr>
              <w:spacing w:after="0"/>
            </w:pPr>
            <w:r/>
            <w:r>
              <w:rPr>
                <w:b w:val="0"/>
                <w:i w:val="0"/>
              </w:rPr>
              <w:t>Information Security Officer</w:t>
            </w:r>
          </w:p>
        </w:tc>
      </w:tr>
      <w:tr>
        <w:tc>
          <w:tcPr>
            <w:tcW w:type="dxa" w:w="2835"/>
          </w:tcPr>
          <w:p>
            <w:pPr>
              <w:spacing w:after="0"/>
            </w:pPr>
            <w:r/>
            <w:r>
              <w:rPr>
                <w:b w:val="0"/>
                <w:i w:val="0"/>
              </w:rPr>
              <w:t>Approved by</w:t>
            </w:r>
          </w:p>
        </w:tc>
        <w:tc>
          <w:tcPr>
            <w:tcW w:type="dxa" w:w="6803"/>
          </w:tcPr>
          <w:p>
            <w:pPr>
              <w:spacing w:after="0"/>
            </w:pPr>
            <w:r/>
            <w:r>
              <w:rPr>
                <w:b w:val="0"/>
                <w:i w:val="0"/>
              </w:rPr>
              <w:t>[To be filled]</w:t>
            </w:r>
          </w:p>
        </w:tc>
      </w:tr>
      <w:tr>
        <w:tc>
          <w:tcPr>
            <w:tcW w:type="dxa" w:w="2835"/>
          </w:tcPr>
          <w:p>
            <w:pPr>
              <w:spacing w:after="0"/>
            </w:pPr>
            <w:r/>
            <w:r>
              <w:rPr>
                <w:b w:val="0"/>
                <w:i w:val="0"/>
              </w:rPr>
              <w:t>Effective date</w:t>
            </w:r>
          </w:p>
        </w:tc>
        <w:tc>
          <w:tcPr>
            <w:tcW w:type="dxa" w:w="6803"/>
          </w:tcPr>
          <w:p>
            <w:pPr>
              <w:spacing w:after="0"/>
            </w:pPr>
            <w:r/>
            <w:r>
              <w:rPr>
                <w:b w:val="0"/>
                <w:i w:val="0"/>
              </w:rPr>
              <w:t>Date of approval</w:t>
            </w:r>
          </w:p>
        </w:tc>
      </w:tr>
      <w:tr>
        <w:tc>
          <w:tcPr>
            <w:tcW w:type="dxa" w:w="2835"/>
          </w:tcPr>
          <w:p>
            <w:pPr>
              <w:spacing w:after="0"/>
            </w:pPr>
            <w:r/>
            <w:r>
              <w:rPr>
                <w:b w:val="0"/>
                <w:i w:val="0"/>
              </w:rPr>
              <w:t>Next review</w:t>
            </w:r>
          </w:p>
        </w:tc>
        <w:tc>
          <w:tcPr>
            <w:tcW w:type="dxa" w:w="6803"/>
          </w:tcPr>
          <w:p>
            <w:pPr>
              <w:spacing w:after="0"/>
            </w:pPr>
            <w:r/>
            <w:r>
              <w:rPr>
                <w:b w:val="0"/>
                <w:i w:val="0"/>
              </w:rPr>
              <w:t>12 months from the effective date</w:t>
            </w:r>
          </w:p>
        </w:tc>
      </w:tr>
    </w:tbl>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680"/>
            <w:shd w:val="clear" w:color="auto" w:fill="1F3864"/>
          </w:tcPr>
          <w:p>
            <w:pPr>
              <w:spacing w:after="0"/>
            </w:pPr>
            <w:r/>
            <w:r>
              <w:rPr>
                <w:b/>
                <w:i w:val="0"/>
                <w:color w:val="FFFFFF"/>
              </w:rPr>
              <w:t>Sl. No.</w:t>
            </w:r>
          </w:p>
        </w:tc>
        <w:tc>
          <w:tcPr>
            <w:tcW w:type="dxa" w:w="1020"/>
            <w:shd w:val="clear" w:color="auto" w:fill="1F3864"/>
          </w:tcPr>
          <w:p>
            <w:pPr>
              <w:spacing w:after="0"/>
            </w:pPr>
            <w:r/>
            <w:r>
              <w:rPr>
                <w:b/>
                <w:i w:val="0"/>
                <w:color w:val="FFFFFF"/>
              </w:rPr>
              <w:t>Version</w:t>
            </w:r>
          </w:p>
        </w:tc>
        <w:tc>
          <w:tcPr>
            <w:tcW w:type="dxa" w:w="1814"/>
            <w:shd w:val="clear" w:color="auto" w:fill="1F3864"/>
          </w:tcPr>
          <w:p>
            <w:pPr>
              <w:spacing w:after="0"/>
            </w:pPr>
            <w:r/>
            <w:r>
              <w:rPr>
                <w:b/>
                <w:i w:val="0"/>
                <w:color w:val="FFFFFF"/>
              </w:rPr>
              <w:t>Date</w:t>
            </w:r>
          </w:p>
        </w:tc>
        <w:tc>
          <w:tcPr>
            <w:tcW w:type="dxa" w:w="3855"/>
            <w:shd w:val="clear" w:color="auto" w:fill="1F3864"/>
          </w:tcPr>
          <w:p>
            <w:pPr>
              <w:spacing w:after="0"/>
            </w:pPr>
            <w:r/>
            <w:r>
              <w:rPr>
                <w:b/>
                <w:i w:val="0"/>
                <w:color w:val="FFFFFF"/>
              </w:rPr>
              <w:t>Description of change</w:t>
            </w:r>
          </w:p>
        </w:tc>
        <w:tc>
          <w:tcPr>
            <w:tcW w:type="dxa" w:w="2268"/>
            <w:shd w:val="clear" w:color="auto" w:fill="1F3864"/>
          </w:tcPr>
          <w:p>
            <w:pPr>
              <w:spacing w:after="0"/>
            </w:pPr>
            <w:r/>
            <w:r>
              <w:rPr>
                <w:b/>
                <w:i w:val="0"/>
                <w:color w:val="FFFFFF"/>
              </w:rPr>
              <w:t>Prepared by</w:t>
            </w:r>
          </w:p>
        </w:tc>
      </w:tr>
      <w:tr>
        <w:tc>
          <w:tcPr>
            <w:tcW w:type="dxa" w:w="680"/>
          </w:tcPr>
          <w:p>
            <w:pPr>
              <w:spacing w:after="0"/>
              <w:jc w:val="center"/>
            </w:pPr>
            <w:r/>
            <w:r>
              <w:rPr>
                <w:b w:val="0"/>
                <w:i w:val="0"/>
              </w:rPr>
              <w:t>1</w:t>
            </w:r>
          </w:p>
        </w:tc>
        <w:tc>
          <w:tcPr>
            <w:tcW w:type="dxa" w:w="1020"/>
          </w:tcPr>
          <w:p>
            <w:pPr>
              <w:spacing w:after="0"/>
            </w:pPr>
            <w:r/>
            <w:r>
              <w:rPr>
                <w:b w:val="0"/>
                <w:i w:val="0"/>
              </w:rPr>
              <w:t>0.1</w:t>
            </w:r>
          </w:p>
        </w:tc>
        <w:tc>
          <w:tcPr>
            <w:tcW w:type="dxa" w:w="1814"/>
          </w:tcPr>
          <w:p>
            <w:pPr>
              <w:spacing w:after="0"/>
            </w:pPr>
            <w:r/>
            <w:r>
              <w:rPr>
                <w:b w:val="0"/>
                <w:i w:val="0"/>
              </w:rPr>
              <w:t>9 October 2026</w:t>
            </w:r>
          </w:p>
        </w:tc>
        <w:tc>
          <w:tcPr>
            <w:tcW w:type="dxa" w:w="3855"/>
          </w:tcPr>
          <w:p>
            <w:pPr>
              <w:spacing w:after="0"/>
            </w:pPr>
            <w:r/>
            <w:r>
              <w:rPr>
                <w:b w:val="0"/>
                <w:i w:val="0"/>
              </w:rPr>
              <w:t>First draft</w:t>
            </w:r>
          </w:p>
        </w:tc>
        <w:tc>
          <w:tcPr>
            <w:tcW w:type="dxa" w:w="2268"/>
          </w:tcPr>
          <w:p>
            <w:pPr>
              <w:spacing w:after="0"/>
            </w:pPr>
            <w:r/>
            <w:r>
              <w:rPr>
                <w:b w:val="0"/>
                <w:i w:val="0"/>
              </w:rPr>
              <w:t>[To be filled]</w:t>
            </w:r>
          </w:p>
        </w:tc>
      </w:tr>
    </w:tbl>
    <w:p/>
    <w:p>
      <w:pPr>
        <w:pStyle w:val="Heading1"/>
      </w:pPr>
      <w:r>
        <w:t>1. Purpose</w:t>
      </w:r>
    </w:p>
    <w:p>
      <w:r>
        <w:t>This policy explains how the Company collects, uses, shares and protects personal data, in line with the Digital Personal Data Protection Act, 2023 (DPDP Act).</w:t>
      </w:r>
    </w:p>
    <w:p>
      <w:pPr>
        <w:pStyle w:val="Heading1"/>
      </w:pPr>
      <w:r>
        <w:t>2. Scope</w:t>
      </w:r>
    </w:p>
    <w:p>
      <w:pPr>
        <w:pStyle w:val="ListBullet"/>
      </w:pPr>
      <w:r>
        <w:t>Personal data processed on behalf of clients in the applications the Company builds, hosts or supports. Here the client is the data fiduciary and the Company is the data processor.</w:t>
      </w:r>
    </w:p>
    <w:p>
      <w:pPr>
        <w:pStyle w:val="ListBullet"/>
      </w:pPr>
      <w:r>
        <w:t>Personal data of the Company's own employees, job applicants and business contacts. Here the Company is the data fiduciary.</w:t>
      </w:r>
    </w:p>
    <w:p>
      <w:pPr>
        <w:pStyle w:val="Heading1"/>
      </w:pPr>
      <w:r>
        <w:t>3. Principles</w:t>
      </w:r>
    </w:p>
    <w:p>
      <w:pPr>
        <w:pStyle w:val="ListBullet"/>
      </w:pPr>
      <w:r>
        <w:t>Lawful and fair: personal data is processed only for a lawful purpose.</w:t>
      </w:r>
    </w:p>
    <w:p>
      <w:pPr>
        <w:pStyle w:val="ListBullet"/>
      </w:pPr>
      <w:r>
        <w:t>Purpose limitation: data is used only for the purpose it was collected for.</w:t>
      </w:r>
    </w:p>
    <w:p>
      <w:pPr>
        <w:pStyle w:val="ListBullet"/>
      </w:pPr>
      <w:r>
        <w:t>Data minimisation: only the data needed for that purpose is collected.</w:t>
      </w:r>
    </w:p>
    <w:p>
      <w:pPr>
        <w:pStyle w:val="ListBullet"/>
      </w:pPr>
      <w:r>
        <w:t>Accuracy: data is kept accurate and can be corrected.</w:t>
      </w:r>
    </w:p>
    <w:p>
      <w:pPr>
        <w:pStyle w:val="ListBullet"/>
      </w:pPr>
      <w:r>
        <w:t>Storage limitation: data is kept only as long as needed.</w:t>
      </w:r>
    </w:p>
    <w:p>
      <w:pPr>
        <w:pStyle w:val="ListBullet"/>
      </w:pPr>
      <w:r>
        <w:t>Security: data is protected as set out in the Data Protection Policy.</w:t>
      </w:r>
    </w:p>
    <w:p>
      <w:pPr>
        <w:pStyle w:val="ListBullet"/>
      </w:pPr>
      <w:r>
        <w:t>Accountability: the Company can show how it meets this policy.</w:t>
      </w:r>
    </w:p>
    <w:p>
      <w:pPr>
        <w:pStyle w:val="Heading1"/>
      </w:pPr>
      <w:r>
        <w:t>4. Data collection: what data is collected and why</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680"/>
            <w:shd w:val="clear" w:color="auto" w:fill="1F3864"/>
          </w:tcPr>
          <w:p>
            <w:pPr>
              <w:spacing w:after="0"/>
            </w:pPr>
            <w:r/>
            <w:r>
              <w:rPr>
                <w:b/>
                <w:i w:val="0"/>
                <w:color w:val="FFFFFF"/>
              </w:rPr>
              <w:t>Sl. No.</w:t>
            </w:r>
          </w:p>
        </w:tc>
        <w:tc>
          <w:tcPr>
            <w:tcW w:type="dxa" w:w="2268"/>
            <w:shd w:val="clear" w:color="auto" w:fill="1F3864"/>
          </w:tcPr>
          <w:p>
            <w:pPr>
              <w:spacing w:after="0"/>
            </w:pPr>
            <w:r/>
            <w:r>
              <w:rPr>
                <w:b/>
                <w:i w:val="0"/>
                <w:color w:val="FFFFFF"/>
              </w:rPr>
              <w:t>Category</w:t>
            </w:r>
          </w:p>
        </w:tc>
        <w:tc>
          <w:tcPr>
            <w:tcW w:type="dxa" w:w="3061"/>
            <w:shd w:val="clear" w:color="auto" w:fill="1F3864"/>
          </w:tcPr>
          <w:p>
            <w:pPr>
              <w:spacing w:after="0"/>
            </w:pPr>
            <w:r/>
            <w:r>
              <w:rPr>
                <w:b/>
                <w:i w:val="0"/>
                <w:color w:val="FFFFFF"/>
              </w:rPr>
              <w:t>Examples</w:t>
            </w:r>
          </w:p>
        </w:tc>
        <w:tc>
          <w:tcPr>
            <w:tcW w:type="dxa" w:w="3628"/>
            <w:shd w:val="clear" w:color="auto" w:fill="1F3864"/>
          </w:tcPr>
          <w:p>
            <w:pPr>
              <w:spacing w:after="0"/>
            </w:pPr>
            <w:r/>
            <w:r>
              <w:rPr>
                <w:b/>
                <w:i w:val="0"/>
                <w:color w:val="FFFFFF"/>
              </w:rPr>
              <w:t>Why it is collected</w:t>
            </w:r>
          </w:p>
        </w:tc>
      </w:tr>
      <w:tr>
        <w:tc>
          <w:tcPr>
            <w:tcW w:type="dxa" w:w="680"/>
          </w:tcPr>
          <w:p>
            <w:pPr>
              <w:spacing w:after="0"/>
              <w:jc w:val="center"/>
            </w:pPr>
            <w:r/>
            <w:r>
              <w:rPr>
                <w:b w:val="0"/>
                <w:i w:val="0"/>
              </w:rPr>
              <w:t>1</w:t>
            </w:r>
          </w:p>
        </w:tc>
        <w:tc>
          <w:tcPr>
            <w:tcW w:type="dxa" w:w="2268"/>
          </w:tcPr>
          <w:p>
            <w:pPr>
              <w:spacing w:after="0"/>
            </w:pPr>
            <w:r/>
            <w:r>
              <w:rPr>
                <w:b w:val="0"/>
                <w:i w:val="0"/>
              </w:rPr>
              <w:t>Contact details of citizens and applicants</w:t>
            </w:r>
          </w:p>
        </w:tc>
        <w:tc>
          <w:tcPr>
            <w:tcW w:type="dxa" w:w="3061"/>
          </w:tcPr>
          <w:p>
            <w:pPr>
              <w:spacing w:after="0"/>
            </w:pPr>
            <w:r/>
            <w:r>
              <w:rPr>
                <w:b w:val="0"/>
                <w:i w:val="0"/>
              </w:rPr>
              <w:t>Name, mobile number, email, address</w:t>
            </w:r>
          </w:p>
        </w:tc>
        <w:tc>
          <w:tcPr>
            <w:tcW w:type="dxa" w:w="3628"/>
          </w:tcPr>
          <w:p>
            <w:pPr>
              <w:spacing w:after="0"/>
            </w:pPr>
            <w:r/>
            <w:r>
              <w:rPr>
                <w:b w:val="0"/>
                <w:i w:val="0"/>
              </w:rPr>
              <w:t>Registration, OTP login and status updates by SMS, as the client's service requires.</w:t>
            </w:r>
          </w:p>
        </w:tc>
      </w:tr>
      <w:tr>
        <w:tc>
          <w:tcPr>
            <w:tcW w:type="dxa" w:w="680"/>
          </w:tcPr>
          <w:p>
            <w:pPr>
              <w:spacing w:after="0"/>
              <w:jc w:val="center"/>
            </w:pPr>
            <w:r/>
            <w:r>
              <w:rPr>
                <w:b w:val="0"/>
                <w:i w:val="0"/>
              </w:rPr>
              <w:t>2</w:t>
            </w:r>
          </w:p>
        </w:tc>
        <w:tc>
          <w:tcPr>
            <w:tcW w:type="dxa" w:w="2268"/>
          </w:tcPr>
          <w:p>
            <w:pPr>
              <w:spacing w:after="0"/>
            </w:pPr>
            <w:r/>
            <w:r>
              <w:rPr>
                <w:b w:val="0"/>
                <w:i w:val="0"/>
              </w:rPr>
              <w:t>Identity and supporting documents</w:t>
            </w:r>
          </w:p>
        </w:tc>
        <w:tc>
          <w:tcPr>
            <w:tcW w:type="dxa" w:w="3061"/>
          </w:tcPr>
          <w:p>
            <w:pPr>
              <w:spacing w:after="0"/>
            </w:pPr>
            <w:r/>
            <w:r>
              <w:rPr>
                <w:b w:val="0"/>
                <w:i w:val="0"/>
              </w:rPr>
              <w:t>Identity proof, BPL certificate, institution registration documents</w:t>
            </w:r>
          </w:p>
        </w:tc>
        <w:tc>
          <w:tcPr>
            <w:tcW w:type="dxa" w:w="3628"/>
          </w:tcPr>
          <w:p>
            <w:pPr>
              <w:spacing w:after="0"/>
            </w:pPr>
            <w:r/>
            <w:r>
              <w:rPr>
                <w:b w:val="0"/>
                <w:i w:val="0"/>
              </w:rPr>
              <w:t>To check eligibility as defined in the client's process.</w:t>
            </w:r>
          </w:p>
        </w:tc>
      </w:tr>
      <w:tr>
        <w:tc>
          <w:tcPr>
            <w:tcW w:type="dxa" w:w="680"/>
          </w:tcPr>
          <w:p>
            <w:pPr>
              <w:spacing w:after="0"/>
              <w:jc w:val="center"/>
            </w:pPr>
            <w:r/>
            <w:r>
              <w:rPr>
                <w:b w:val="0"/>
                <w:i w:val="0"/>
              </w:rPr>
              <w:t>3</w:t>
            </w:r>
          </w:p>
        </w:tc>
        <w:tc>
          <w:tcPr>
            <w:tcW w:type="dxa" w:w="2268"/>
          </w:tcPr>
          <w:p>
            <w:pPr>
              <w:spacing w:after="0"/>
            </w:pPr>
            <w:r/>
            <w:r>
              <w:rPr>
                <w:b w:val="0"/>
                <w:i w:val="0"/>
              </w:rPr>
              <w:t>Candidate and employee profile data</w:t>
            </w:r>
          </w:p>
        </w:tc>
        <w:tc>
          <w:tcPr>
            <w:tcW w:type="dxa" w:w="3061"/>
          </w:tcPr>
          <w:p>
            <w:pPr>
              <w:spacing w:after="0"/>
            </w:pPr>
            <w:r/>
            <w:r>
              <w:rPr>
                <w:b w:val="0"/>
                <w:i w:val="0"/>
              </w:rPr>
              <w:t>Employee ID, department, photograph, Aadhaar number (only where the client requires it)</w:t>
            </w:r>
          </w:p>
        </w:tc>
        <w:tc>
          <w:tcPr>
            <w:tcW w:type="dxa" w:w="3628"/>
          </w:tcPr>
          <w:p>
            <w:pPr>
              <w:spacing w:after="0"/>
            </w:pPr>
            <w:r/>
            <w:r>
              <w:rPr>
                <w:b w:val="0"/>
                <w:i w:val="0"/>
              </w:rPr>
              <w:t>Exam registration, identity check at the exam centre and certificates.</w:t>
            </w:r>
          </w:p>
        </w:tc>
      </w:tr>
      <w:tr>
        <w:tc>
          <w:tcPr>
            <w:tcW w:type="dxa" w:w="680"/>
          </w:tcPr>
          <w:p>
            <w:pPr>
              <w:spacing w:after="0"/>
              <w:jc w:val="center"/>
            </w:pPr>
            <w:r/>
            <w:r>
              <w:rPr>
                <w:b w:val="0"/>
                <w:i w:val="0"/>
              </w:rPr>
              <w:t>4</w:t>
            </w:r>
          </w:p>
        </w:tc>
        <w:tc>
          <w:tcPr>
            <w:tcW w:type="dxa" w:w="2268"/>
          </w:tcPr>
          <w:p>
            <w:pPr>
              <w:spacing w:after="0"/>
            </w:pPr>
            <w:r/>
            <w:r>
              <w:rPr>
                <w:b w:val="0"/>
                <w:i w:val="0"/>
              </w:rPr>
              <w:t>Field and location data</w:t>
            </w:r>
          </w:p>
        </w:tc>
        <w:tc>
          <w:tcPr>
            <w:tcW w:type="dxa" w:w="3061"/>
          </w:tcPr>
          <w:p>
            <w:pPr>
              <w:spacing w:after="0"/>
            </w:pPr>
            <w:r/>
            <w:r>
              <w:rPr>
                <w:b w:val="0"/>
                <w:i w:val="0"/>
              </w:rPr>
              <w:t>Site photos, video, GPS location</w:t>
            </w:r>
          </w:p>
        </w:tc>
        <w:tc>
          <w:tcPr>
            <w:tcW w:type="dxa" w:w="3628"/>
          </w:tcPr>
          <w:p>
            <w:pPr>
              <w:spacing w:after="0"/>
            </w:pPr>
            <w:r/>
            <w:r>
              <w:rPr>
                <w:b w:val="0"/>
                <w:i w:val="0"/>
              </w:rPr>
              <w:t>Verification of site dimensions.</w:t>
            </w:r>
          </w:p>
        </w:tc>
      </w:tr>
      <w:tr>
        <w:tc>
          <w:tcPr>
            <w:tcW w:type="dxa" w:w="680"/>
          </w:tcPr>
          <w:p>
            <w:pPr>
              <w:spacing w:after="0"/>
              <w:jc w:val="center"/>
            </w:pPr>
            <w:r/>
            <w:r>
              <w:rPr>
                <w:b w:val="0"/>
                <w:i w:val="0"/>
              </w:rPr>
              <w:t>5</w:t>
            </w:r>
          </w:p>
        </w:tc>
        <w:tc>
          <w:tcPr>
            <w:tcW w:type="dxa" w:w="2268"/>
          </w:tcPr>
          <w:p>
            <w:pPr>
              <w:spacing w:after="0"/>
            </w:pPr>
            <w:r/>
            <w:r>
              <w:rPr>
                <w:b w:val="0"/>
                <w:i w:val="0"/>
              </w:rPr>
              <w:t>Payment information</w:t>
            </w:r>
          </w:p>
        </w:tc>
        <w:tc>
          <w:tcPr>
            <w:tcW w:type="dxa" w:w="3061"/>
          </w:tcPr>
          <w:p>
            <w:pPr>
              <w:spacing w:after="0"/>
            </w:pPr>
            <w:r/>
            <w:r>
              <w:rPr>
                <w:b w:val="0"/>
                <w:i w:val="0"/>
              </w:rPr>
              <w:t>Transaction reference, amount, status</w:t>
            </w:r>
          </w:p>
        </w:tc>
        <w:tc>
          <w:tcPr>
            <w:tcW w:type="dxa" w:w="3628"/>
          </w:tcPr>
          <w:p>
            <w:pPr>
              <w:spacing w:after="0"/>
            </w:pPr>
            <w:r/>
            <w:r>
              <w:rPr>
                <w:b w:val="0"/>
                <w:i w:val="0"/>
              </w:rPr>
              <w:t>Confirmation of fee payment. Card and bank details are entered only on the payment gateway's page and are not stored in our applications.</w:t>
            </w:r>
          </w:p>
        </w:tc>
      </w:tr>
      <w:tr>
        <w:tc>
          <w:tcPr>
            <w:tcW w:type="dxa" w:w="680"/>
          </w:tcPr>
          <w:p>
            <w:pPr>
              <w:spacing w:after="0"/>
              <w:jc w:val="center"/>
            </w:pPr>
            <w:r/>
            <w:r>
              <w:rPr>
                <w:b w:val="0"/>
                <w:i w:val="0"/>
              </w:rPr>
              <w:t>6</w:t>
            </w:r>
          </w:p>
        </w:tc>
        <w:tc>
          <w:tcPr>
            <w:tcW w:type="dxa" w:w="2268"/>
          </w:tcPr>
          <w:p>
            <w:pPr>
              <w:spacing w:after="0"/>
            </w:pPr>
            <w:r/>
            <w:r>
              <w:rPr>
                <w:b w:val="0"/>
                <w:i w:val="0"/>
              </w:rPr>
              <w:t>Client staff user data</w:t>
            </w:r>
          </w:p>
        </w:tc>
        <w:tc>
          <w:tcPr>
            <w:tcW w:type="dxa" w:w="3061"/>
          </w:tcPr>
          <w:p>
            <w:pPr>
              <w:spacing w:after="0"/>
            </w:pPr>
            <w:r/>
            <w:r>
              <w:rPr>
                <w:b w:val="0"/>
                <w:i w:val="0"/>
              </w:rPr>
              <w:t>Name, official email, mobile number, role, login history</w:t>
            </w:r>
          </w:p>
        </w:tc>
        <w:tc>
          <w:tcPr>
            <w:tcW w:type="dxa" w:w="3628"/>
          </w:tcPr>
          <w:p>
            <w:pPr>
              <w:spacing w:after="0"/>
            </w:pPr>
            <w:r/>
            <w:r>
              <w:rPr>
                <w:b w:val="0"/>
                <w:i w:val="0"/>
              </w:rPr>
              <w:t>Access control and audit trail.</w:t>
            </w:r>
          </w:p>
        </w:tc>
      </w:tr>
      <w:tr>
        <w:tc>
          <w:tcPr>
            <w:tcW w:type="dxa" w:w="680"/>
          </w:tcPr>
          <w:p>
            <w:pPr>
              <w:spacing w:after="0"/>
              <w:jc w:val="center"/>
            </w:pPr>
            <w:r/>
            <w:r>
              <w:rPr>
                <w:b w:val="0"/>
                <w:i w:val="0"/>
              </w:rPr>
              <w:t>7</w:t>
            </w:r>
          </w:p>
        </w:tc>
        <w:tc>
          <w:tcPr>
            <w:tcW w:type="dxa" w:w="2268"/>
          </w:tcPr>
          <w:p>
            <w:pPr>
              <w:spacing w:after="0"/>
            </w:pPr>
            <w:r/>
            <w:r>
              <w:rPr>
                <w:b w:val="0"/>
                <w:i w:val="0"/>
              </w:rPr>
              <w:t>Payroll and time-study data of client employees</w:t>
            </w:r>
          </w:p>
        </w:tc>
        <w:tc>
          <w:tcPr>
            <w:tcW w:type="dxa" w:w="3061"/>
          </w:tcPr>
          <w:p>
            <w:pPr>
              <w:spacing w:after="0"/>
            </w:pPr>
            <w:r/>
            <w:r>
              <w:rPr>
                <w:b w:val="0"/>
                <w:i w:val="0"/>
              </w:rPr>
              <w:t>Employee names, time records, salary cost</w:t>
            </w:r>
          </w:p>
        </w:tc>
        <w:tc>
          <w:tcPr>
            <w:tcW w:type="dxa" w:w="3628"/>
          </w:tcPr>
          <w:p>
            <w:pPr>
              <w:spacing w:after="0"/>
            </w:pPr>
            <w:r/>
            <w:r>
              <w:rPr>
                <w:b w:val="0"/>
                <w:i w:val="0"/>
              </w:rPr>
              <w:t>Administrative cost claiming, as per the client contract.</w:t>
            </w:r>
          </w:p>
        </w:tc>
      </w:tr>
      <w:tr>
        <w:tc>
          <w:tcPr>
            <w:tcW w:type="dxa" w:w="680"/>
          </w:tcPr>
          <w:p>
            <w:pPr>
              <w:spacing w:after="0"/>
              <w:jc w:val="center"/>
            </w:pPr>
            <w:r/>
            <w:r>
              <w:rPr>
                <w:b w:val="0"/>
                <w:i w:val="0"/>
              </w:rPr>
              <w:t>8</w:t>
            </w:r>
          </w:p>
        </w:tc>
        <w:tc>
          <w:tcPr>
            <w:tcW w:type="dxa" w:w="2268"/>
          </w:tcPr>
          <w:p>
            <w:pPr>
              <w:spacing w:after="0"/>
            </w:pPr>
            <w:r/>
            <w:r>
              <w:rPr>
                <w:b w:val="0"/>
                <w:i w:val="0"/>
              </w:rPr>
              <w:t>Company employees and job applicants</w:t>
            </w:r>
          </w:p>
        </w:tc>
        <w:tc>
          <w:tcPr>
            <w:tcW w:type="dxa" w:w="3061"/>
          </w:tcPr>
          <w:p>
            <w:pPr>
              <w:spacing w:after="0"/>
            </w:pPr>
            <w:r/>
            <w:r>
              <w:rPr>
                <w:b w:val="0"/>
                <w:i w:val="0"/>
              </w:rPr>
              <w:t>Identity and address proof, bank details, qualifications</w:t>
            </w:r>
          </w:p>
        </w:tc>
        <w:tc>
          <w:tcPr>
            <w:tcW w:type="dxa" w:w="3628"/>
          </w:tcPr>
          <w:p>
            <w:pPr>
              <w:spacing w:after="0"/>
            </w:pPr>
            <w:r/>
            <w:r>
              <w:rPr>
                <w:b w:val="0"/>
                <w:i w:val="0"/>
              </w:rPr>
              <w:t>HR, payroll and statutory compliance.</w:t>
            </w:r>
          </w:p>
        </w:tc>
      </w:tr>
    </w:tbl>
    <w:p/>
    <w:p>
      <w:pPr>
        <w:pStyle w:val="ListBullet"/>
      </w:pPr>
      <w:r>
        <w:t>Only the fields in the client's approved requirements are collected. Any new personal data field needs approval from the Project Manager and the client.</w:t>
      </w:r>
    </w:p>
    <w:p>
      <w:pPr>
        <w:pStyle w:val="ListBullet"/>
      </w:pPr>
      <w:r>
        <w:t>Aadhaar numbers are collected only where the law or the client requires it. They are masked on screen (only the last four digits are shown) and encrypted at rest.</w:t>
      </w:r>
    </w:p>
    <w:p>
      <w:pPr>
        <w:pStyle w:val="Heading1"/>
      </w:pPr>
      <w:r>
        <w:t>5. Transparency and communication</w:t>
      </w:r>
    </w:p>
    <w:p>
      <w:pPr>
        <w:pStyle w:val="ListBullet"/>
      </w:pPr>
      <w:r>
        <w:t>Every public-facing application shows a privacy notice, linked from the registration and login pages. It is written in plain language, and in English and Kannada where the application is bilingual.</w:t>
      </w:r>
    </w:p>
    <w:p>
      <w:pPr>
        <w:pStyle w:val="ListBullet"/>
      </w:pPr>
      <w:r>
        <w:t>The notice says what data is collected, why, how long it is kept, who it is shared with, how to ask for correction or deletion, and whom to contact with a grievance.</w:t>
      </w:r>
    </w:p>
    <w:p>
      <w:pPr>
        <w:pStyle w:val="ListBullet"/>
      </w:pPr>
      <w:r>
        <w:t>Where consent is the legal basis, the application records consent with a date and time, together with a link to the notice that was shown.</w:t>
      </w:r>
    </w:p>
    <w:p>
      <w:pPr>
        <w:pStyle w:val="ListBullet"/>
      </w:pPr>
      <w:r>
        <w:t>For client applications, the client (as data fiduciary) approves the content of the notice.</w:t>
      </w:r>
    </w:p>
    <w:p>
      <w:pPr>
        <w:pStyle w:val="Heading1"/>
      </w:pPr>
      <w:r>
        <w:t>6. Rights of individuals</w:t>
      </w:r>
    </w:p>
    <w:p>
      <w:pPr>
        <w:pStyle w:val="ListBullet"/>
      </w:pPr>
      <w:r>
        <w:t>Individuals can ask to access, correct or erase their personal data, nominate another person, and raise a grievance.</w:t>
      </w:r>
    </w:p>
    <w:p>
      <w:pPr>
        <w:pStyle w:val="ListBullet"/>
      </w:pPr>
      <w:r>
        <w:t>For client applications, requests received by the Company are passed to the client within two working days, and the Company gives the technical help needed to act on them.</w:t>
      </w:r>
    </w:p>
    <w:p>
      <w:pPr>
        <w:pStyle w:val="ListBullet"/>
      </w:pPr>
      <w:r>
        <w:t>For the Company's own data, the Grievance Officer responds within 30 days.</w:t>
      </w:r>
    </w:p>
    <w:p>
      <w:pPr>
        <w:pStyle w:val="Heading1"/>
      </w:pPr>
      <w:r>
        <w:t>7. Third parties and vendors</w:t>
      </w:r>
    </w:p>
    <w:p>
      <w:r>
        <w:t>Personal data is shared only with third parties needed to deliver the service, and only under a written contract. Each contract covers:</w:t>
      </w:r>
    </w:p>
    <w:p>
      <w:pPr>
        <w:pStyle w:val="ListBullet"/>
      </w:pPr>
      <w:r>
        <w:t>Confidentiality, and use of the data only for the agreed purpose.</w:t>
      </w:r>
    </w:p>
    <w:p>
      <w:pPr>
        <w:pStyle w:val="ListBullet"/>
      </w:pPr>
      <w:r>
        <w:t>Security safeguards at least equal to the Company's policies.</w:t>
      </w:r>
    </w:p>
    <w:p>
      <w:pPr>
        <w:pStyle w:val="ListBullet"/>
      </w:pPr>
      <w:r>
        <w:t>Notice to the Company of any breach within 24 hours.</w:t>
      </w:r>
    </w:p>
    <w:p>
      <w:pPr>
        <w:pStyle w:val="ListBullet"/>
      </w:pPr>
      <w:r>
        <w:t>No sub-processing without the Company's written approval.</w:t>
      </w:r>
    </w:p>
    <w:p>
      <w:pPr>
        <w:pStyle w:val="ListBullet"/>
      </w:pPr>
      <w:r>
        <w:t>Where the data is stored.</w:t>
      </w:r>
    </w:p>
    <w:p>
      <w:pPr>
        <w:pStyle w:val="ListBullet"/>
      </w:pPr>
      <w:r>
        <w:t>Return or deletion of the data when the contract ends.</w:t>
      </w:r>
    </w:p>
    <w:p>
      <w:pPr>
        <w:pStyle w:val="ListBullet"/>
      </w:pPr>
      <w:r>
        <w:t>The Company's right to audit.</w:t>
      </w:r>
    </w:p>
    <w:p>
      <w:r>
        <w:t>Third-party services currently used in client applications: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680"/>
            <w:shd w:val="clear" w:color="auto" w:fill="1F3864"/>
          </w:tcPr>
          <w:p>
            <w:pPr>
              <w:spacing w:after="0"/>
            </w:pPr>
            <w:r/>
            <w:r>
              <w:rPr>
                <w:b/>
                <w:i w:val="0"/>
                <w:color w:val="FFFFFF"/>
              </w:rPr>
              <w:t>Sl. No.</w:t>
            </w:r>
          </w:p>
        </w:tc>
        <w:tc>
          <w:tcPr>
            <w:tcW w:type="dxa" w:w="3402"/>
            <w:shd w:val="clear" w:color="auto" w:fill="1F3864"/>
          </w:tcPr>
          <w:p>
            <w:pPr>
              <w:spacing w:after="0"/>
            </w:pPr>
            <w:r/>
            <w:r>
              <w:rPr>
                <w:b/>
                <w:i w:val="0"/>
                <w:color w:val="FFFFFF"/>
              </w:rPr>
              <w:t>Service</w:t>
            </w:r>
          </w:p>
        </w:tc>
        <w:tc>
          <w:tcPr>
            <w:tcW w:type="dxa" w:w="2494"/>
            <w:shd w:val="clear" w:color="auto" w:fill="1F3864"/>
          </w:tcPr>
          <w:p>
            <w:pPr>
              <w:spacing w:after="0"/>
            </w:pPr>
            <w:r/>
            <w:r>
              <w:rPr>
                <w:b/>
                <w:i w:val="0"/>
                <w:color w:val="FFFFFF"/>
              </w:rPr>
              <w:t>Purpose</w:t>
            </w:r>
          </w:p>
        </w:tc>
        <w:tc>
          <w:tcPr>
            <w:tcW w:type="dxa" w:w="3061"/>
            <w:shd w:val="clear" w:color="auto" w:fill="1F3864"/>
          </w:tcPr>
          <w:p>
            <w:pPr>
              <w:spacing w:after="0"/>
            </w:pPr>
            <w:r/>
            <w:r>
              <w:rPr>
                <w:b/>
                <w:i w:val="0"/>
                <w:color w:val="FFFFFF"/>
              </w:rPr>
              <w:t>Data shared</w:t>
            </w:r>
          </w:p>
        </w:tc>
      </w:tr>
      <w:tr>
        <w:tc>
          <w:tcPr>
            <w:tcW w:type="dxa" w:w="680"/>
          </w:tcPr>
          <w:p>
            <w:pPr>
              <w:spacing w:after="0"/>
              <w:jc w:val="center"/>
            </w:pPr>
            <w:r/>
            <w:r>
              <w:rPr>
                <w:b w:val="0"/>
                <w:i w:val="0"/>
              </w:rPr>
              <w:t>1</w:t>
            </w:r>
          </w:p>
        </w:tc>
        <w:tc>
          <w:tcPr>
            <w:tcW w:type="dxa" w:w="3402"/>
          </w:tcPr>
          <w:p>
            <w:pPr>
              <w:spacing w:after="0"/>
            </w:pPr>
            <w:r/>
            <w:r>
              <w:rPr>
                <w:b w:val="0"/>
                <w:i w:val="0"/>
              </w:rPr>
              <w:t>Karnataka Mobile Seva SMS gateway (Government of Karnataka)</w:t>
            </w:r>
          </w:p>
        </w:tc>
        <w:tc>
          <w:tcPr>
            <w:tcW w:type="dxa" w:w="2494"/>
          </w:tcPr>
          <w:p>
            <w:pPr>
              <w:spacing w:after="0"/>
            </w:pPr>
            <w:r/>
            <w:r>
              <w:rPr>
                <w:b w:val="0"/>
                <w:i w:val="0"/>
              </w:rPr>
              <w:t>OTP and status SMS</w:t>
            </w:r>
          </w:p>
        </w:tc>
        <w:tc>
          <w:tcPr>
            <w:tcW w:type="dxa" w:w="3061"/>
          </w:tcPr>
          <w:p>
            <w:pPr>
              <w:spacing w:after="0"/>
            </w:pPr>
            <w:r/>
            <w:r>
              <w:rPr>
                <w:b w:val="0"/>
                <w:i w:val="0"/>
              </w:rPr>
              <w:t>Mobile number, message text</w:t>
            </w:r>
          </w:p>
        </w:tc>
      </w:tr>
      <w:tr>
        <w:tc>
          <w:tcPr>
            <w:tcW w:type="dxa" w:w="680"/>
          </w:tcPr>
          <w:p>
            <w:pPr>
              <w:spacing w:after="0"/>
              <w:jc w:val="center"/>
            </w:pPr>
            <w:r/>
            <w:r>
              <w:rPr>
                <w:b w:val="0"/>
                <w:i w:val="0"/>
              </w:rPr>
              <w:t>2</w:t>
            </w:r>
          </w:p>
        </w:tc>
        <w:tc>
          <w:tcPr>
            <w:tcW w:type="dxa" w:w="3402"/>
          </w:tcPr>
          <w:p>
            <w:pPr>
              <w:spacing w:after="0"/>
            </w:pPr>
            <w:r/>
            <w:r>
              <w:rPr>
                <w:b w:val="0"/>
                <w:i w:val="0"/>
              </w:rPr>
              <w:t>Payment gateways (PayU, Razorpay)</w:t>
            </w:r>
          </w:p>
        </w:tc>
        <w:tc>
          <w:tcPr>
            <w:tcW w:type="dxa" w:w="2494"/>
          </w:tcPr>
          <w:p>
            <w:pPr>
              <w:spacing w:after="0"/>
            </w:pPr>
            <w:r/>
            <w:r>
              <w:rPr>
                <w:b w:val="0"/>
                <w:i w:val="0"/>
              </w:rPr>
              <w:t>Online fee payment</w:t>
            </w:r>
          </w:p>
        </w:tc>
        <w:tc>
          <w:tcPr>
            <w:tcW w:type="dxa" w:w="3061"/>
          </w:tcPr>
          <w:p>
            <w:pPr>
              <w:spacing w:after="0"/>
            </w:pPr>
            <w:r/>
            <w:r>
              <w:rPr>
                <w:b w:val="0"/>
                <w:i w:val="0"/>
              </w:rPr>
              <w:t>Name, mobile number or email, amount, transaction reference</w:t>
            </w:r>
          </w:p>
        </w:tc>
      </w:tr>
      <w:tr>
        <w:tc>
          <w:tcPr>
            <w:tcW w:type="dxa" w:w="680"/>
          </w:tcPr>
          <w:p>
            <w:pPr>
              <w:spacing w:after="0"/>
              <w:jc w:val="center"/>
            </w:pPr>
            <w:r/>
            <w:r>
              <w:rPr>
                <w:b w:val="0"/>
                <w:i w:val="0"/>
              </w:rPr>
              <w:t>3</w:t>
            </w:r>
          </w:p>
        </w:tc>
        <w:tc>
          <w:tcPr>
            <w:tcW w:type="dxa" w:w="3402"/>
          </w:tcPr>
          <w:p>
            <w:pPr>
              <w:spacing w:after="0"/>
            </w:pPr>
            <w:r/>
            <w:r>
              <w:rPr>
                <w:b w:val="0"/>
                <w:i w:val="0"/>
              </w:rPr>
              <w:t>Hosting: Karnataka State Data Centre and client data centres</w:t>
            </w:r>
          </w:p>
        </w:tc>
        <w:tc>
          <w:tcPr>
            <w:tcW w:type="dxa" w:w="2494"/>
          </w:tcPr>
          <w:p>
            <w:pPr>
              <w:spacing w:after="0"/>
            </w:pPr>
            <w:r/>
            <w:r>
              <w:rPr>
                <w:b w:val="0"/>
                <w:i w:val="0"/>
              </w:rPr>
              <w:t>Production hosting, arranged by the client</w:t>
            </w:r>
          </w:p>
        </w:tc>
        <w:tc>
          <w:tcPr>
            <w:tcW w:type="dxa" w:w="3061"/>
          </w:tcPr>
          <w:p>
            <w:pPr>
              <w:spacing w:after="0"/>
            </w:pPr>
            <w:r/>
            <w:r>
              <w:rPr>
                <w:b w:val="0"/>
                <w:i w:val="0"/>
              </w:rPr>
              <w:t>All application data</w:t>
            </w:r>
          </w:p>
        </w:tc>
      </w:tr>
    </w:tbl>
    <w:p/>
    <w:p>
      <w:r>
        <w:t>This list is kept up to date in the Company's third-party register.</w:t>
      </w:r>
    </w:p>
    <w:p>
      <w:pPr>
        <w:pStyle w:val="Heading1"/>
      </w:pPr>
      <w:r>
        <w:t>8. Retention and deletion</w:t>
      </w:r>
    </w:p>
    <w:p>
      <w:pPr>
        <w:pStyle w:val="ListBullet"/>
      </w:pPr>
      <w:r>
        <w:t>Personal data is kept only as long as the purpose, the client contract or the law requires.</w:t>
      </w:r>
    </w:p>
    <w:p>
      <w:pPr>
        <w:pStyle w:val="ListBullet"/>
      </w:pPr>
      <w:r>
        <w:t>When a contract ends, data is returned or deleted as the client instructs, and the deletion is recorded.</w:t>
      </w:r>
    </w:p>
    <w:p>
      <w:pPr>
        <w:pStyle w:val="Heading1"/>
      </w:pPr>
      <w:r>
        <w:t>9. Data location</w:t>
      </w:r>
    </w:p>
    <w:p>
      <w:pPr>
        <w:pStyle w:val="ListBullet"/>
      </w:pPr>
      <w:r>
        <w:t>Personal data in applications for Indian clients is hosted in India (at the Karnataka State Data Centre or in client data centres).</w:t>
      </w:r>
    </w:p>
    <w:p>
      <w:pPr>
        <w:pStyle w:val="ListBullet"/>
      </w:pPr>
      <w:r>
        <w:t>For overseas clients, data is hosted on the client's own infrastructure, as the client instructs.</w:t>
      </w:r>
    </w:p>
    <w:p>
      <w:pPr>
        <w:pStyle w:val="ListBullet"/>
      </w:pPr>
      <w:r>
        <w:t>Personal data is transferred outside India only where the DPDP Act and the client contract allow it.</w:t>
      </w:r>
    </w:p>
    <w:p>
      <w:pPr>
        <w:pStyle w:val="Heading1"/>
      </w:pPr>
      <w:r>
        <w:t>10. Security and breaches</w:t>
      </w:r>
    </w:p>
    <w:p>
      <w:r>
        <w:t>Personal data is protected as set out in the Data Protection Policy and the Data Transmission Policy. Personal data breaches are handled under the Incident Response Plan.</w:t>
      </w:r>
    </w:p>
    <w:p>
      <w:pPr>
        <w:pStyle w:val="Heading1"/>
      </w:pPr>
      <w:r>
        <w:t>11. Roles and responsibilities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680"/>
            <w:shd w:val="clear" w:color="auto" w:fill="1F3864"/>
          </w:tcPr>
          <w:p>
            <w:pPr>
              <w:spacing w:after="0"/>
            </w:pPr>
            <w:r/>
            <w:r>
              <w:rPr>
                <w:b/>
                <w:i w:val="0"/>
                <w:color w:val="FFFFFF"/>
              </w:rPr>
              <w:t>Sl. No.</w:t>
            </w:r>
          </w:p>
        </w:tc>
        <w:tc>
          <w:tcPr>
            <w:tcW w:type="dxa" w:w="2608"/>
            <w:shd w:val="clear" w:color="auto" w:fill="1F3864"/>
          </w:tcPr>
          <w:p>
            <w:pPr>
              <w:spacing w:after="0"/>
            </w:pPr>
            <w:r/>
            <w:r>
              <w:rPr>
                <w:b/>
                <w:i w:val="0"/>
                <w:color w:val="FFFFFF"/>
              </w:rPr>
              <w:t>Role</w:t>
            </w:r>
          </w:p>
        </w:tc>
        <w:tc>
          <w:tcPr>
            <w:tcW w:type="dxa" w:w="4309"/>
            <w:shd w:val="clear" w:color="auto" w:fill="1F3864"/>
          </w:tcPr>
          <w:p>
            <w:pPr>
              <w:spacing w:after="0"/>
            </w:pPr>
            <w:r/>
            <w:r>
              <w:rPr>
                <w:b/>
                <w:i w:val="0"/>
                <w:color w:val="FFFFFF"/>
              </w:rPr>
              <w:t>Responsibility</w:t>
            </w:r>
          </w:p>
        </w:tc>
        <w:tc>
          <w:tcPr>
            <w:tcW w:type="dxa" w:w="2041"/>
            <w:shd w:val="clear" w:color="auto" w:fill="1F3864"/>
          </w:tcPr>
          <w:p>
            <w:pPr>
              <w:spacing w:after="0"/>
            </w:pPr>
            <w:r/>
            <w:r>
              <w:rPr>
                <w:b/>
                <w:i w:val="0"/>
                <w:color w:val="FFFFFF"/>
              </w:rPr>
              <w:t>Name and contact</w:t>
            </w:r>
          </w:p>
        </w:tc>
      </w:tr>
      <w:tr>
        <w:tc>
          <w:tcPr>
            <w:tcW w:type="dxa" w:w="680"/>
          </w:tcPr>
          <w:p>
            <w:pPr>
              <w:spacing w:after="0"/>
              <w:jc w:val="center"/>
            </w:pPr>
            <w:r/>
            <w:r>
              <w:rPr>
                <w:b w:val="0"/>
                <w:i w:val="0"/>
              </w:rPr>
              <w:t>1</w:t>
            </w:r>
          </w:p>
        </w:tc>
        <w:tc>
          <w:tcPr>
            <w:tcW w:type="dxa" w:w="2608"/>
          </w:tcPr>
          <w:p>
            <w:pPr>
              <w:spacing w:after="0"/>
            </w:pPr>
            <w:r/>
            <w:r>
              <w:rPr>
                <w:b w:val="0"/>
                <w:i w:val="0"/>
              </w:rPr>
              <w:t>Grievance Officer / Data Protection contact</w:t>
            </w:r>
          </w:p>
        </w:tc>
        <w:tc>
          <w:tcPr>
            <w:tcW w:type="dxa" w:w="4309"/>
          </w:tcPr>
          <w:p>
            <w:pPr>
              <w:spacing w:after="0"/>
            </w:pPr>
            <w:r/>
            <w:r>
              <w:rPr>
                <w:b w:val="0"/>
                <w:i w:val="0"/>
              </w:rPr>
              <w:t>Handles privacy requests and grievances. Advises on the DPDP Act.</w:t>
            </w:r>
          </w:p>
        </w:tc>
        <w:tc>
          <w:tcPr>
            <w:tcW w:type="dxa" w:w="2041"/>
          </w:tcPr>
          <w:p>
            <w:pPr>
              <w:spacing w:after="0"/>
            </w:pPr>
            <w:r/>
            <w:r>
              <w:rPr>
                <w:b w:val="0"/>
                <w:i w:val="0"/>
              </w:rPr>
              <w:t>[To be filled]</w:t>
            </w:r>
          </w:p>
        </w:tc>
      </w:tr>
      <w:tr>
        <w:tc>
          <w:tcPr>
            <w:tcW w:type="dxa" w:w="680"/>
          </w:tcPr>
          <w:p>
            <w:pPr>
              <w:spacing w:after="0"/>
              <w:jc w:val="center"/>
            </w:pPr>
            <w:r/>
            <w:r>
              <w:rPr>
                <w:b w:val="0"/>
                <w:i w:val="0"/>
              </w:rPr>
              <w:t>2</w:t>
            </w:r>
          </w:p>
        </w:tc>
        <w:tc>
          <w:tcPr>
            <w:tcW w:type="dxa" w:w="2608"/>
          </w:tcPr>
          <w:p>
            <w:pPr>
              <w:spacing w:after="0"/>
            </w:pPr>
            <w:r/>
            <w:r>
              <w:rPr>
                <w:b w:val="0"/>
                <w:i w:val="0"/>
              </w:rPr>
              <w:t>Information Security Officer</w:t>
            </w:r>
          </w:p>
        </w:tc>
        <w:tc>
          <w:tcPr>
            <w:tcW w:type="dxa" w:w="4309"/>
          </w:tcPr>
          <w:p>
            <w:pPr>
              <w:spacing w:after="0"/>
            </w:pPr>
            <w:r/>
            <w:r>
              <w:rPr>
                <w:b w:val="0"/>
                <w:i w:val="0"/>
              </w:rPr>
              <w:t>Owns this policy and checks compliance.</w:t>
            </w:r>
          </w:p>
        </w:tc>
        <w:tc>
          <w:tcPr>
            <w:tcW w:type="dxa" w:w="2041"/>
          </w:tcPr>
          <w:p>
            <w:pPr>
              <w:spacing w:after="0"/>
            </w:pPr>
            <w:r/>
            <w:r>
              <w:rPr>
                <w:b w:val="0"/>
                <w:i w:val="0"/>
              </w:rPr>
              <w:t>[To be filled]</w:t>
            </w:r>
          </w:p>
        </w:tc>
      </w:tr>
      <w:tr>
        <w:tc>
          <w:tcPr>
            <w:tcW w:type="dxa" w:w="680"/>
          </w:tcPr>
          <w:p>
            <w:pPr>
              <w:spacing w:after="0"/>
              <w:jc w:val="center"/>
            </w:pPr>
            <w:r/>
            <w:r>
              <w:rPr>
                <w:b w:val="0"/>
                <w:i w:val="0"/>
              </w:rPr>
              <w:t>3</w:t>
            </w:r>
          </w:p>
        </w:tc>
        <w:tc>
          <w:tcPr>
            <w:tcW w:type="dxa" w:w="2608"/>
          </w:tcPr>
          <w:p>
            <w:pPr>
              <w:spacing w:after="0"/>
            </w:pPr>
            <w:r/>
            <w:r>
              <w:rPr>
                <w:b w:val="0"/>
                <w:i w:val="0"/>
              </w:rPr>
              <w:t>Project Manager</w:t>
            </w:r>
          </w:p>
        </w:tc>
        <w:tc>
          <w:tcPr>
            <w:tcW w:type="dxa" w:w="4309"/>
          </w:tcPr>
          <w:p>
            <w:pPr>
              <w:spacing w:after="0"/>
            </w:pPr>
            <w:r/>
            <w:r>
              <w:rPr>
                <w:b w:val="0"/>
                <w:i w:val="0"/>
              </w:rPr>
              <w:t>Makes sure each application collects only approved data and shows the privacy notice.</w:t>
            </w:r>
          </w:p>
        </w:tc>
        <w:tc>
          <w:tcPr>
            <w:tcW w:type="dxa" w:w="2041"/>
          </w:tcPr>
          <w:p>
            <w:pPr>
              <w:spacing w:after="0"/>
            </w:pPr>
            <w:r/>
            <w:r>
              <w:rPr>
                <w:b w:val="0"/>
                <w:i w:val="0"/>
              </w:rPr>
              <w:t>–</w:t>
            </w:r>
          </w:p>
        </w:tc>
      </w:tr>
      <w:tr>
        <w:tc>
          <w:tcPr>
            <w:tcW w:type="dxa" w:w="680"/>
          </w:tcPr>
          <w:p>
            <w:pPr>
              <w:spacing w:after="0"/>
              <w:jc w:val="center"/>
            </w:pPr>
            <w:r/>
            <w:r>
              <w:rPr>
                <w:b w:val="0"/>
                <w:i w:val="0"/>
              </w:rPr>
              <w:t>4</w:t>
            </w:r>
          </w:p>
        </w:tc>
        <w:tc>
          <w:tcPr>
            <w:tcW w:type="dxa" w:w="2608"/>
          </w:tcPr>
          <w:p>
            <w:pPr>
              <w:spacing w:after="0"/>
            </w:pPr>
            <w:r/>
            <w:r>
              <w:rPr>
                <w:b w:val="0"/>
                <w:i w:val="0"/>
              </w:rPr>
              <w:t>All staff</w:t>
            </w:r>
          </w:p>
        </w:tc>
        <w:tc>
          <w:tcPr>
            <w:tcW w:type="dxa" w:w="4309"/>
          </w:tcPr>
          <w:p>
            <w:pPr>
              <w:spacing w:after="0"/>
            </w:pPr>
            <w:r/>
            <w:r>
              <w:rPr>
                <w:b w:val="0"/>
                <w:i w:val="0"/>
              </w:rPr>
              <w:t>Handle personal data as set out in this policy, and report any misuse.</w:t>
            </w:r>
          </w:p>
        </w:tc>
        <w:tc>
          <w:tcPr>
            <w:tcW w:type="dxa" w:w="2041"/>
          </w:tcPr>
          <w:p>
            <w:pPr>
              <w:spacing w:after="0"/>
            </w:pPr>
            <w:r/>
            <w:r>
              <w:rPr>
                <w:b w:val="0"/>
                <w:i w:val="0"/>
              </w:rPr>
              <w:t>–</w:t>
            </w:r>
          </w:p>
        </w:tc>
      </w:tr>
    </w:tbl>
    <w:p/>
    <w:p>
      <w:pPr>
        <w:pStyle w:val="Heading1"/>
      </w:pPr>
      <w:r>
        <w:t>12. Training and awareness</w:t>
      </w:r>
    </w:p>
    <w:p>
      <w:pPr>
        <w:pStyle w:val="ListBullet"/>
      </w:pPr>
      <w:r>
        <w:t>Every employee and contractor completes security and data protection awareness training within 30 days of joining, and a refresher once a year.</w:t>
      </w:r>
    </w:p>
    <w:p>
      <w:pPr>
        <w:pStyle w:val="ListBullet"/>
      </w:pPr>
      <w:r>
        <w:t>Training records are kept for at least three years. Each record shows the date, topic, trainer, list of attendees (signed attendance sheet or screenshot from the online session) and assessment result where a test is given.</w:t>
      </w:r>
    </w:p>
    <w:p>
      <w:pPr>
        <w:pStyle w:val="ListBullet"/>
      </w:pPr>
      <w:r>
        <w:t>The Information Security Officer reviews completion every quarter and follows up with anyone who has not completed the training.</w:t>
      </w:r>
    </w:p>
    <w:p>
      <w:pPr>
        <w:pStyle w:val="Heading1"/>
      </w:pPr>
      <w:r>
        <w:t>13. Compliance, exceptions and review</w:t>
      </w:r>
    </w:p>
    <w:p>
      <w:pPr>
        <w:pStyle w:val="ListBullet"/>
      </w:pPr>
      <w:r>
        <w:t>Breach of this policy may lead to disciplinary action, in line with the Company's HR policy.</w:t>
      </w:r>
    </w:p>
    <w:p>
      <w:pPr>
        <w:pStyle w:val="ListBullet"/>
      </w:pPr>
      <w:r>
        <w:t>Any exception must be approved in writing by the Information Security Officer, with a reason and an expiry date, and recorded in the exceptions register.</w:t>
      </w:r>
    </w:p>
    <w:p>
      <w:pPr>
        <w:pStyle w:val="ListBullet"/>
      </w:pPr>
      <w:r>
        <w:t>This policy is reviewed at least once a year, and also after a major security incident, a change in law or a major change in the Company's systems.</w:t>
      </w:r>
    </w:p>
    <w:p>
      <w:pPr>
        <w:pStyle w:val="Heading1"/>
      </w:pPr>
      <w:r>
        <w:t>Approval</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680"/>
            <w:shd w:val="clear" w:color="auto" w:fill="1F3864"/>
          </w:tcPr>
          <w:p>
            <w:pPr>
              <w:spacing w:after="0"/>
            </w:pPr>
            <w:r/>
            <w:r>
              <w:rPr>
                <w:b/>
                <w:i w:val="0"/>
                <w:color w:val="FFFFFF"/>
              </w:rPr>
              <w:t>Sl. No.</w:t>
            </w:r>
          </w:p>
        </w:tc>
        <w:tc>
          <w:tcPr>
            <w:tcW w:type="dxa" w:w="1587"/>
            <w:shd w:val="clear" w:color="auto" w:fill="1F3864"/>
          </w:tcPr>
          <w:p>
            <w:pPr>
              <w:spacing w:after="0"/>
            </w:pPr>
            <w:r/>
            <w:r>
              <w:rPr>
                <w:b/>
                <w:i w:val="0"/>
                <w:color w:val="FFFFFF"/>
              </w:rPr>
              <w:t>Role</w:t>
            </w:r>
          </w:p>
        </w:tc>
        <w:tc>
          <w:tcPr>
            <w:tcW w:type="dxa" w:w="2041"/>
            <w:shd w:val="clear" w:color="auto" w:fill="1F3864"/>
          </w:tcPr>
          <w:p>
            <w:pPr>
              <w:spacing w:after="0"/>
            </w:pPr>
            <w:r/>
            <w:r>
              <w:rPr>
                <w:b/>
                <w:i w:val="0"/>
                <w:color w:val="FFFFFF"/>
              </w:rPr>
              <w:t>Name</w:t>
            </w:r>
          </w:p>
        </w:tc>
        <w:tc>
          <w:tcPr>
            <w:tcW w:type="dxa" w:w="1928"/>
            <w:shd w:val="clear" w:color="auto" w:fill="1F3864"/>
          </w:tcPr>
          <w:p>
            <w:pPr>
              <w:spacing w:after="0"/>
            </w:pPr>
            <w:r/>
            <w:r>
              <w:rPr>
                <w:b/>
                <w:i w:val="0"/>
                <w:color w:val="FFFFFF"/>
              </w:rPr>
              <w:t>Designation</w:t>
            </w:r>
          </w:p>
        </w:tc>
        <w:tc>
          <w:tcPr>
            <w:tcW w:type="dxa" w:w="1928"/>
            <w:shd w:val="clear" w:color="auto" w:fill="1F3864"/>
          </w:tcPr>
          <w:p>
            <w:pPr>
              <w:spacing w:after="0"/>
            </w:pPr>
            <w:r/>
            <w:r>
              <w:rPr>
                <w:b/>
                <w:i w:val="0"/>
                <w:color w:val="FFFFFF"/>
              </w:rPr>
              <w:t>Signature</w:t>
            </w:r>
          </w:p>
        </w:tc>
        <w:tc>
          <w:tcPr>
            <w:tcW w:type="dxa" w:w="1474"/>
            <w:shd w:val="clear" w:color="auto" w:fill="1F3864"/>
          </w:tcPr>
          <w:p>
            <w:pPr>
              <w:spacing w:after="0"/>
            </w:pPr>
            <w:r/>
            <w:r>
              <w:rPr>
                <w:b/>
                <w:i w:val="0"/>
                <w:color w:val="FFFFFF"/>
              </w:rPr>
              <w:t>Date</w:t>
            </w:r>
          </w:p>
        </w:tc>
      </w:tr>
      <w:tr>
        <w:tc>
          <w:tcPr>
            <w:tcW w:type="dxa" w:w="680"/>
          </w:tcPr>
          <w:p>
            <w:pPr>
              <w:spacing w:after="0"/>
              <w:jc w:val="center"/>
            </w:pPr>
            <w:r/>
            <w:r>
              <w:rPr>
                <w:b w:val="0"/>
                <w:i w:val="0"/>
              </w:rPr>
              <w:t>1</w:t>
            </w:r>
          </w:p>
        </w:tc>
        <w:tc>
          <w:tcPr>
            <w:tcW w:type="dxa" w:w="1587"/>
          </w:tcPr>
          <w:p>
            <w:pPr>
              <w:spacing w:after="0"/>
            </w:pPr>
            <w:r/>
            <w:r>
              <w:rPr>
                <w:b w:val="0"/>
                <w:i w:val="0"/>
              </w:rPr>
              <w:t>Prepared by</w:t>
            </w:r>
          </w:p>
        </w:tc>
        <w:tc>
          <w:tcPr>
            <w:tcW w:type="dxa" w:w="2041"/>
          </w:tcPr>
          <w:p>
            <w:pPr>
              <w:spacing w:after="0"/>
            </w:pPr>
            <w:r/>
            <w:r>
              <w:rPr>
                <w:b w:val="0"/>
                <w:i w:val="0"/>
              </w:rPr>
            </w:r>
          </w:p>
        </w:tc>
        <w:tc>
          <w:tcPr>
            <w:tcW w:type="dxa" w:w="1928"/>
          </w:tcPr>
          <w:p>
            <w:pPr>
              <w:spacing w:after="0"/>
            </w:pPr>
            <w:r/>
            <w:r>
              <w:rPr>
                <w:b w:val="0"/>
                <w:i w:val="0"/>
              </w:rPr>
            </w:r>
          </w:p>
        </w:tc>
        <w:tc>
          <w:tcPr>
            <w:tcW w:type="dxa" w:w="1928"/>
          </w:tcPr>
          <w:p>
            <w:pPr>
              <w:spacing w:after="0"/>
            </w:pPr>
            <w:r/>
            <w:r>
              <w:rPr>
                <w:b w:val="0"/>
                <w:i w:val="0"/>
              </w:rPr>
            </w:r>
          </w:p>
        </w:tc>
        <w:tc>
          <w:tcPr>
            <w:tcW w:type="dxa" w:w="1474"/>
          </w:tcPr>
          <w:p>
            <w:pPr>
              <w:spacing w:after="0"/>
            </w:pPr>
            <w:r/>
            <w:r>
              <w:rPr>
                <w:b w:val="0"/>
                <w:i w:val="0"/>
              </w:rPr>
            </w:r>
          </w:p>
        </w:tc>
      </w:tr>
      <w:tr>
        <w:tc>
          <w:tcPr>
            <w:tcW w:type="dxa" w:w="680"/>
          </w:tcPr>
          <w:p>
            <w:pPr>
              <w:spacing w:after="0"/>
              <w:jc w:val="center"/>
            </w:pPr>
            <w:r/>
            <w:r>
              <w:rPr>
                <w:b w:val="0"/>
                <w:i w:val="0"/>
              </w:rPr>
              <w:t>2</w:t>
            </w:r>
          </w:p>
        </w:tc>
        <w:tc>
          <w:tcPr>
            <w:tcW w:type="dxa" w:w="1587"/>
          </w:tcPr>
          <w:p>
            <w:pPr>
              <w:spacing w:after="0"/>
            </w:pPr>
            <w:r/>
            <w:r>
              <w:rPr>
                <w:b w:val="0"/>
                <w:i w:val="0"/>
              </w:rPr>
              <w:t>Reviewed by</w:t>
            </w:r>
          </w:p>
        </w:tc>
        <w:tc>
          <w:tcPr>
            <w:tcW w:type="dxa" w:w="2041"/>
          </w:tcPr>
          <w:p>
            <w:pPr>
              <w:spacing w:after="0"/>
            </w:pPr>
            <w:r/>
            <w:r>
              <w:rPr>
                <w:b w:val="0"/>
                <w:i w:val="0"/>
              </w:rPr>
            </w:r>
          </w:p>
        </w:tc>
        <w:tc>
          <w:tcPr>
            <w:tcW w:type="dxa" w:w="1928"/>
          </w:tcPr>
          <w:p>
            <w:pPr>
              <w:spacing w:after="0"/>
            </w:pPr>
            <w:r/>
            <w:r>
              <w:rPr>
                <w:b w:val="0"/>
                <w:i w:val="0"/>
              </w:rPr>
            </w:r>
          </w:p>
        </w:tc>
        <w:tc>
          <w:tcPr>
            <w:tcW w:type="dxa" w:w="1928"/>
          </w:tcPr>
          <w:p>
            <w:pPr>
              <w:spacing w:after="0"/>
            </w:pPr>
            <w:r/>
            <w:r>
              <w:rPr>
                <w:b w:val="0"/>
                <w:i w:val="0"/>
              </w:rPr>
            </w:r>
          </w:p>
        </w:tc>
        <w:tc>
          <w:tcPr>
            <w:tcW w:type="dxa" w:w="1474"/>
          </w:tcPr>
          <w:p>
            <w:pPr>
              <w:spacing w:after="0"/>
            </w:pPr>
            <w:r/>
            <w:r>
              <w:rPr>
                <w:b w:val="0"/>
                <w:i w:val="0"/>
              </w:rPr>
            </w:r>
          </w:p>
        </w:tc>
      </w:tr>
      <w:tr>
        <w:tc>
          <w:tcPr>
            <w:tcW w:type="dxa" w:w="680"/>
          </w:tcPr>
          <w:p>
            <w:pPr>
              <w:spacing w:after="0"/>
              <w:jc w:val="center"/>
            </w:pPr>
            <w:r/>
            <w:r>
              <w:rPr>
                <w:b w:val="0"/>
                <w:i w:val="0"/>
              </w:rPr>
              <w:t>3</w:t>
            </w:r>
          </w:p>
        </w:tc>
        <w:tc>
          <w:tcPr>
            <w:tcW w:type="dxa" w:w="1587"/>
          </w:tcPr>
          <w:p>
            <w:pPr>
              <w:spacing w:after="0"/>
            </w:pPr>
            <w:r/>
            <w:r>
              <w:rPr>
                <w:b w:val="0"/>
                <w:i w:val="0"/>
              </w:rPr>
              <w:t>Approved by</w:t>
            </w:r>
          </w:p>
        </w:tc>
        <w:tc>
          <w:tcPr>
            <w:tcW w:type="dxa" w:w="2041"/>
          </w:tcPr>
          <w:p>
            <w:pPr>
              <w:spacing w:after="0"/>
            </w:pPr>
            <w:r/>
            <w:r>
              <w:rPr>
                <w:b w:val="0"/>
                <w:i w:val="0"/>
              </w:rPr>
            </w:r>
          </w:p>
        </w:tc>
        <w:tc>
          <w:tcPr>
            <w:tcW w:type="dxa" w:w="1928"/>
          </w:tcPr>
          <w:p>
            <w:pPr>
              <w:spacing w:after="0"/>
            </w:pPr>
            <w:r/>
            <w:r>
              <w:rPr>
                <w:b w:val="0"/>
                <w:i w:val="0"/>
              </w:rPr>
            </w:r>
          </w:p>
        </w:tc>
        <w:tc>
          <w:tcPr>
            <w:tcW w:type="dxa" w:w="1928"/>
          </w:tcPr>
          <w:p>
            <w:pPr>
              <w:spacing w:after="0"/>
            </w:pPr>
            <w:r/>
            <w:r>
              <w:rPr>
                <w:b w:val="0"/>
                <w:i w:val="0"/>
              </w:rPr>
            </w:r>
          </w:p>
        </w:tc>
        <w:tc>
          <w:tcPr>
            <w:tcW w:type="dxa" w:w="1474"/>
          </w:tcPr>
          <w:p>
            <w:pPr>
              <w:spacing w:after="0"/>
            </w:pPr>
            <w:r/>
            <w:r>
              <w:rPr>
                <w:b w:val="0"/>
                <w:i w:val="0"/>
              </w:rPr>
            </w:r>
          </w:p>
        </w:tc>
      </w:tr>
    </w:tbl>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Inventech Info Solutions Pvt. Ltd. | IIS-POL-PR-01 | Internal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C00000"/>
        <w:sz w:val="16"/>
      </w:rPr>
      <w:t>DRAFT – for management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