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Inventech Info Solutions Pvt. Ltd.</w:t>
      </w:r>
    </w:p>
    <w:p>
      <w:pPr>
        <w:jc w:val="center"/>
      </w:pPr>
      <w:r>
        <w:rPr>
          <w:b/>
          <w:color w:val="1F3864"/>
          <w:sz w:val="40"/>
        </w:rPr>
        <w:t>Data Protection Policy</w:t>
      </w:r>
    </w:p>
    <w:p>
      <w:pPr>
        <w:pStyle w:val="Heading1"/>
      </w:pPr>
      <w:r>
        <w:t>Document control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0"/>
            </w:pPr>
            <w:r/>
            <w:r>
              <w:rPr>
                <w:b/>
                <w:i w:val="0"/>
                <w:color w:val="FFFFFF"/>
              </w:rPr>
              <w:t>Item</w:t>
            </w:r>
          </w:p>
        </w:tc>
        <w:tc>
          <w:tcPr>
            <w:tcW w:type="dxa" w:w="6803"/>
            <w:shd w:val="clear" w:color="auto" w:fill="1F3864"/>
          </w:tcPr>
          <w:p>
            <w:pPr>
              <w:spacing w:after="0"/>
            </w:pPr>
            <w:r/>
            <w:r>
              <w:rPr>
                <w:b/>
                <w:i w:val="0"/>
                <w:color w:val="FFFFFF"/>
              </w:rPr>
              <w:t>Details</w:t>
            </w:r>
          </w:p>
        </w:tc>
      </w:tr>
      <w:tr>
        <w:tc>
          <w:tcPr>
            <w:tcW w:type="dxa" w:w="2835"/>
          </w:tcPr>
          <w:p>
            <w:pPr>
              <w:spacing w:after="0"/>
            </w:pPr>
            <w:r/>
            <w:r>
              <w:rPr>
                <w:b w:val="0"/>
                <w:i w:val="0"/>
              </w:rPr>
              <w:t>Document title</w:t>
            </w:r>
          </w:p>
        </w:tc>
        <w:tc>
          <w:tcPr>
            <w:tcW w:type="dxa" w:w="6803"/>
          </w:tcPr>
          <w:p>
            <w:pPr>
              <w:spacing w:after="0"/>
            </w:pPr>
            <w:r/>
            <w:r>
              <w:rPr>
                <w:b w:val="0"/>
                <w:i w:val="0"/>
              </w:rPr>
              <w:t>Data Protection Policy</w:t>
            </w:r>
          </w:p>
        </w:tc>
      </w:tr>
      <w:tr>
        <w:tc>
          <w:tcPr>
            <w:tcW w:type="dxa" w:w="2835"/>
          </w:tcPr>
          <w:p>
            <w:pPr>
              <w:spacing w:after="0"/>
            </w:pPr>
            <w:r/>
            <w:r>
              <w:rPr>
                <w:b w:val="0"/>
                <w:i w:val="0"/>
              </w:rPr>
              <w:t>Document ID</w:t>
            </w:r>
          </w:p>
        </w:tc>
        <w:tc>
          <w:tcPr>
            <w:tcW w:type="dxa" w:w="6803"/>
          </w:tcPr>
          <w:p>
            <w:pPr>
              <w:spacing w:after="0"/>
            </w:pPr>
            <w:r/>
            <w:r>
              <w:rPr>
                <w:b w:val="0"/>
                <w:i w:val="0"/>
              </w:rPr>
              <w:t>IIS-POL-DP-01</w:t>
            </w:r>
          </w:p>
        </w:tc>
      </w:tr>
      <w:tr>
        <w:tc>
          <w:tcPr>
            <w:tcW w:type="dxa" w:w="2835"/>
          </w:tcPr>
          <w:p>
            <w:pPr>
              <w:spacing w:after="0"/>
            </w:pPr>
            <w:r/>
            <w:r>
              <w:rPr>
                <w:b w:val="0"/>
                <w:i w:val="0"/>
              </w:rPr>
              <w:t>Version</w:t>
            </w:r>
          </w:p>
        </w:tc>
        <w:tc>
          <w:tcPr>
            <w:tcW w:type="dxa" w:w="6803"/>
          </w:tcPr>
          <w:p>
            <w:pPr>
              <w:spacing w:after="0"/>
            </w:pPr>
            <w:r/>
            <w:r>
              <w:rPr>
                <w:b w:val="0"/>
                <w:i w:val="0"/>
              </w:rPr>
              <w:t>0.1 (draft for management review)</w:t>
            </w:r>
          </w:p>
        </w:tc>
      </w:tr>
      <w:tr>
        <w:tc>
          <w:tcPr>
            <w:tcW w:type="dxa" w:w="2835"/>
          </w:tcPr>
          <w:p>
            <w:pPr>
              <w:spacing w:after="0"/>
            </w:pPr>
            <w:r/>
            <w:r>
              <w:rPr>
                <w:b w:val="0"/>
                <w:i w:val="0"/>
              </w:rPr>
              <w:t>Classification</w:t>
            </w:r>
          </w:p>
        </w:tc>
        <w:tc>
          <w:tcPr>
            <w:tcW w:type="dxa" w:w="6803"/>
          </w:tcPr>
          <w:p>
            <w:pPr>
              <w:spacing w:after="0"/>
            </w:pPr>
            <w:r/>
            <w:r>
              <w:rPr>
                <w:b w:val="0"/>
                <w:i w:val="0"/>
              </w:rPr>
              <w:t>Internal</w:t>
            </w:r>
          </w:p>
        </w:tc>
      </w:tr>
      <w:tr>
        <w:tc>
          <w:tcPr>
            <w:tcW w:type="dxa" w:w="2835"/>
          </w:tcPr>
          <w:p>
            <w:pPr>
              <w:spacing w:after="0"/>
            </w:pPr>
            <w:r/>
            <w:r>
              <w:rPr>
                <w:b w:val="0"/>
                <w:i w:val="0"/>
              </w:rPr>
              <w:t>Document owner</w:t>
            </w:r>
          </w:p>
        </w:tc>
        <w:tc>
          <w:tcPr>
            <w:tcW w:type="dxa" w:w="6803"/>
          </w:tcPr>
          <w:p>
            <w:pPr>
              <w:spacing w:after="0"/>
            </w:pPr>
            <w:r/>
            <w:r>
              <w:rPr>
                <w:b w:val="0"/>
                <w:i w:val="0"/>
              </w:rPr>
              <w:t>Information Security Officer</w:t>
            </w:r>
          </w:p>
        </w:tc>
      </w:tr>
      <w:tr>
        <w:tc>
          <w:tcPr>
            <w:tcW w:type="dxa" w:w="2835"/>
          </w:tcPr>
          <w:p>
            <w:pPr>
              <w:spacing w:after="0"/>
            </w:pPr>
            <w:r/>
            <w:r>
              <w:rPr>
                <w:b w:val="0"/>
                <w:i w:val="0"/>
              </w:rPr>
              <w:t>Approved by</w:t>
            </w:r>
          </w:p>
        </w:tc>
        <w:tc>
          <w:tcPr>
            <w:tcW w:type="dxa" w:w="6803"/>
          </w:tcPr>
          <w:p>
            <w:pPr>
              <w:spacing w:after="0"/>
            </w:pPr>
            <w:r/>
            <w:r>
              <w:rPr>
                <w:b w:val="0"/>
                <w:i w:val="0"/>
              </w:rPr>
              <w:t>[To be filled]</w:t>
            </w:r>
          </w:p>
        </w:tc>
      </w:tr>
      <w:tr>
        <w:tc>
          <w:tcPr>
            <w:tcW w:type="dxa" w:w="2835"/>
          </w:tcPr>
          <w:p>
            <w:pPr>
              <w:spacing w:after="0"/>
            </w:pPr>
            <w:r/>
            <w:r>
              <w:rPr>
                <w:b w:val="0"/>
                <w:i w:val="0"/>
              </w:rPr>
              <w:t>Effective date</w:t>
            </w:r>
          </w:p>
        </w:tc>
        <w:tc>
          <w:tcPr>
            <w:tcW w:type="dxa" w:w="6803"/>
          </w:tcPr>
          <w:p>
            <w:pPr>
              <w:spacing w:after="0"/>
            </w:pPr>
            <w:r/>
            <w:r>
              <w:rPr>
                <w:b w:val="0"/>
                <w:i w:val="0"/>
              </w:rPr>
              <w:t>Date of approval</w:t>
            </w:r>
          </w:p>
        </w:tc>
      </w:tr>
      <w:tr>
        <w:tc>
          <w:tcPr>
            <w:tcW w:type="dxa" w:w="2835"/>
          </w:tcPr>
          <w:p>
            <w:pPr>
              <w:spacing w:after="0"/>
            </w:pPr>
            <w:r/>
            <w:r>
              <w:rPr>
                <w:b w:val="0"/>
                <w:i w:val="0"/>
              </w:rPr>
              <w:t>Next review</w:t>
            </w:r>
          </w:p>
        </w:tc>
        <w:tc>
          <w:tcPr>
            <w:tcW w:type="dxa" w:w="6803"/>
          </w:tcPr>
          <w:p>
            <w:pPr>
              <w:spacing w:after="0"/>
            </w:pPr>
            <w:r/>
            <w:r>
              <w:rPr>
                <w:b w:val="0"/>
                <w:i w:val="0"/>
              </w:rPr>
              <w:t>12 months from the effective date</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680"/>
            <w:shd w:val="clear" w:color="auto" w:fill="1F3864"/>
          </w:tcPr>
          <w:p>
            <w:pPr>
              <w:spacing w:after="0"/>
            </w:pPr>
            <w:r/>
            <w:r>
              <w:rPr>
                <w:b/>
                <w:i w:val="0"/>
                <w:color w:val="FFFFFF"/>
              </w:rPr>
              <w:t>Sl. No.</w:t>
            </w:r>
          </w:p>
        </w:tc>
        <w:tc>
          <w:tcPr>
            <w:tcW w:type="dxa" w:w="1020"/>
            <w:shd w:val="clear" w:color="auto" w:fill="1F3864"/>
          </w:tcPr>
          <w:p>
            <w:pPr>
              <w:spacing w:after="0"/>
            </w:pPr>
            <w:r/>
            <w:r>
              <w:rPr>
                <w:b/>
                <w:i w:val="0"/>
                <w:color w:val="FFFFFF"/>
              </w:rPr>
              <w:t>Version</w:t>
            </w:r>
          </w:p>
        </w:tc>
        <w:tc>
          <w:tcPr>
            <w:tcW w:type="dxa" w:w="1814"/>
            <w:shd w:val="clear" w:color="auto" w:fill="1F3864"/>
          </w:tcPr>
          <w:p>
            <w:pPr>
              <w:spacing w:after="0"/>
            </w:pPr>
            <w:r/>
            <w:r>
              <w:rPr>
                <w:b/>
                <w:i w:val="0"/>
                <w:color w:val="FFFFFF"/>
              </w:rPr>
              <w:t>Date</w:t>
            </w:r>
          </w:p>
        </w:tc>
        <w:tc>
          <w:tcPr>
            <w:tcW w:type="dxa" w:w="3855"/>
            <w:shd w:val="clear" w:color="auto" w:fill="1F3864"/>
          </w:tcPr>
          <w:p>
            <w:pPr>
              <w:spacing w:after="0"/>
            </w:pPr>
            <w:r/>
            <w:r>
              <w:rPr>
                <w:b/>
                <w:i w:val="0"/>
                <w:color w:val="FFFFFF"/>
              </w:rPr>
              <w:t>Description of change</w:t>
            </w:r>
          </w:p>
        </w:tc>
        <w:tc>
          <w:tcPr>
            <w:tcW w:type="dxa" w:w="2268"/>
            <w:shd w:val="clear" w:color="auto" w:fill="1F3864"/>
          </w:tcPr>
          <w:p>
            <w:pPr>
              <w:spacing w:after="0"/>
            </w:pPr>
            <w:r/>
            <w:r>
              <w:rPr>
                <w:b/>
                <w:i w:val="0"/>
                <w:color w:val="FFFFFF"/>
              </w:rPr>
              <w:t>Prepared by</w:t>
            </w:r>
          </w:p>
        </w:tc>
      </w:tr>
      <w:tr>
        <w:tc>
          <w:tcPr>
            <w:tcW w:type="dxa" w:w="680"/>
          </w:tcPr>
          <w:p>
            <w:pPr>
              <w:spacing w:after="0"/>
              <w:jc w:val="center"/>
            </w:pPr>
            <w:r/>
            <w:r>
              <w:rPr>
                <w:b w:val="0"/>
                <w:i w:val="0"/>
              </w:rPr>
              <w:t>1</w:t>
            </w:r>
          </w:p>
        </w:tc>
        <w:tc>
          <w:tcPr>
            <w:tcW w:type="dxa" w:w="1020"/>
          </w:tcPr>
          <w:p>
            <w:pPr>
              <w:spacing w:after="0"/>
            </w:pPr>
            <w:r/>
            <w:r>
              <w:rPr>
                <w:b w:val="0"/>
                <w:i w:val="0"/>
              </w:rPr>
              <w:t>0.1</w:t>
            </w:r>
          </w:p>
        </w:tc>
        <w:tc>
          <w:tcPr>
            <w:tcW w:type="dxa" w:w="1814"/>
          </w:tcPr>
          <w:p>
            <w:pPr>
              <w:spacing w:after="0"/>
            </w:pPr>
            <w:r/>
            <w:r>
              <w:rPr>
                <w:b w:val="0"/>
                <w:i w:val="0"/>
              </w:rPr>
              <w:t>9 October 2026</w:t>
            </w:r>
          </w:p>
        </w:tc>
        <w:tc>
          <w:tcPr>
            <w:tcW w:type="dxa" w:w="3855"/>
          </w:tcPr>
          <w:p>
            <w:pPr>
              <w:spacing w:after="0"/>
            </w:pPr>
            <w:r/>
            <w:r>
              <w:rPr>
                <w:b w:val="0"/>
                <w:i w:val="0"/>
              </w:rPr>
              <w:t>First draft</w:t>
            </w:r>
          </w:p>
        </w:tc>
        <w:tc>
          <w:tcPr>
            <w:tcW w:type="dxa" w:w="2268"/>
          </w:tcPr>
          <w:p>
            <w:pPr>
              <w:spacing w:after="0"/>
            </w:pPr>
            <w:r/>
            <w:r>
              <w:rPr>
                <w:b w:val="0"/>
                <w:i w:val="0"/>
              </w:rPr>
              <w:t>[To be filled]</w:t>
            </w:r>
          </w:p>
        </w:tc>
      </w:tr>
    </w:tbl>
    <w:p/>
    <w:p>
      <w:pPr>
        <w:pStyle w:val="Heading1"/>
      </w:pPr>
      <w:r>
        <w:t>1. Purpose</w:t>
      </w:r>
    </w:p>
    <w:p>
      <w:r>
        <w:t>This policy sets out how Inventech Info Solutions Pvt. Ltd. ("the Company") protects the data it handles, both its own data and data it processes for clients, against loss, misuse, and unauthorised access or change.</w:t>
      </w:r>
    </w:p>
    <w:p>
      <w:pPr>
        <w:pStyle w:val="Heading1"/>
      </w:pPr>
      <w:r>
        <w:t>2. Scope</w:t>
      </w:r>
    </w:p>
    <w:p>
      <w:pPr>
        <w:pStyle w:val="ListBullet"/>
      </w:pPr>
      <w:r>
        <w:t>All employees, trainees and contractors of the Company.</w:t>
      </w:r>
    </w:p>
    <w:p>
      <w:pPr>
        <w:pStyle w:val="ListBullet"/>
      </w:pPr>
      <w:r>
        <w:t>All systems used to build, test, host or support applications: laptops, source code repositories, the Company's own UAT servers, and production environments run for clients (for example at the Karnataka State Data Centre or on client premises). Where a client hosts the system, the Company follows this policy for the parts it controls and the client's policy where that is stricter.</w:t>
      </w:r>
    </w:p>
    <w:p>
      <w:pPr>
        <w:pStyle w:val="ListBullet"/>
      </w:pPr>
      <w:r>
        <w:t>All data in any form: databases, files, documents, backups, logs, email and paper.</w:t>
      </w:r>
    </w:p>
    <w:p>
      <w:pPr>
        <w:pStyle w:val="Heading1"/>
      </w:pPr>
      <w:r>
        <w:t>3. References</w:t>
      </w:r>
    </w:p>
    <w:p>
      <w:pPr>
        <w:pStyle w:val="ListBullet"/>
      </w:pPr>
      <w:r>
        <w:t>Digital Personal Data Protection Act, 2023.</w:t>
      </w:r>
    </w:p>
    <w:p>
      <w:pPr>
        <w:pStyle w:val="ListBullet"/>
      </w:pPr>
      <w:r>
        <w:t>Information Technology Act, 2000, and the IT (Reasonable Security Practices and Procedures and Sensitive Personal Data or Information) Rules, 2011.</w:t>
      </w:r>
    </w:p>
    <w:p>
      <w:pPr>
        <w:pStyle w:val="ListBullet"/>
      </w:pPr>
      <w:r>
        <w:t>CERT-In Directions under Section 70B(6) of the IT Act, dated 28 April 2022.</w:t>
      </w:r>
    </w:p>
    <w:p>
      <w:pPr>
        <w:pStyle w:val="ListBullet"/>
      </w:pPr>
      <w:r>
        <w:t>ISO/IEC 27001:2022 (used as guidance).</w:t>
      </w:r>
    </w:p>
    <w:p>
      <w:pPr>
        <w:pStyle w:val="ListBullet"/>
      </w:pPr>
      <w:r>
        <w:t>Security requirements in client contracts.</w:t>
      </w:r>
    </w:p>
    <w:p>
      <w:pPr>
        <w:pStyle w:val="Heading1"/>
      </w:pPr>
      <w:r>
        <w:t>4. Data classification schema</w:t>
      </w:r>
    </w:p>
    <w:p>
      <w:r>
        <w:t>All data is placed in one of four classes. The Project Manager classifies project data at the start of each project. Data that has not been classified is treated as Confidential.</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680"/>
            <w:shd w:val="clear" w:color="auto" w:fill="1F3864"/>
          </w:tcPr>
          <w:p>
            <w:pPr>
              <w:spacing w:after="0"/>
            </w:pPr>
            <w:r/>
            <w:r>
              <w:rPr>
                <w:b/>
                <w:i w:val="0"/>
                <w:color w:val="FFFFFF"/>
              </w:rPr>
              <w:t>Sl. No.</w:t>
            </w:r>
          </w:p>
        </w:tc>
        <w:tc>
          <w:tcPr>
            <w:tcW w:type="dxa" w:w="1247"/>
            <w:shd w:val="clear" w:color="auto" w:fill="1F3864"/>
          </w:tcPr>
          <w:p>
            <w:pPr>
              <w:spacing w:after="0"/>
            </w:pPr>
            <w:r/>
            <w:r>
              <w:rPr>
                <w:b/>
                <w:i w:val="0"/>
                <w:color w:val="FFFFFF"/>
              </w:rPr>
              <w:t>Class</w:t>
            </w:r>
          </w:p>
        </w:tc>
        <w:tc>
          <w:tcPr>
            <w:tcW w:type="dxa" w:w="2041"/>
            <w:shd w:val="clear" w:color="auto" w:fill="1F3864"/>
          </w:tcPr>
          <w:p>
            <w:pPr>
              <w:spacing w:after="0"/>
            </w:pPr>
            <w:r/>
            <w:r>
              <w:rPr>
                <w:b/>
                <w:i w:val="0"/>
                <w:color w:val="FFFFFF"/>
              </w:rPr>
              <w:t>Description</w:t>
            </w:r>
          </w:p>
        </w:tc>
        <w:tc>
          <w:tcPr>
            <w:tcW w:type="dxa" w:w="2835"/>
            <w:shd w:val="clear" w:color="auto" w:fill="1F3864"/>
          </w:tcPr>
          <w:p>
            <w:pPr>
              <w:spacing w:after="0"/>
            </w:pPr>
            <w:r/>
            <w:r>
              <w:rPr>
                <w:b/>
                <w:i w:val="0"/>
                <w:color w:val="FFFFFF"/>
              </w:rPr>
              <w:t>Examples</w:t>
            </w:r>
          </w:p>
        </w:tc>
        <w:tc>
          <w:tcPr>
            <w:tcW w:type="dxa" w:w="2835"/>
            <w:shd w:val="clear" w:color="auto" w:fill="1F3864"/>
          </w:tcPr>
          <w:p>
            <w:pPr>
              <w:spacing w:after="0"/>
            </w:pPr>
            <w:r/>
            <w:r>
              <w:rPr>
                <w:b/>
                <w:i w:val="0"/>
                <w:color w:val="FFFFFF"/>
              </w:rPr>
              <w:t>Handling</w:t>
            </w:r>
          </w:p>
        </w:tc>
      </w:tr>
      <w:tr>
        <w:tc>
          <w:tcPr>
            <w:tcW w:type="dxa" w:w="680"/>
          </w:tcPr>
          <w:p>
            <w:pPr>
              <w:spacing w:after="0"/>
              <w:jc w:val="center"/>
            </w:pPr>
            <w:r/>
            <w:r>
              <w:rPr>
                <w:b w:val="0"/>
                <w:i w:val="0"/>
              </w:rPr>
              <w:t>1</w:t>
            </w:r>
          </w:p>
        </w:tc>
        <w:tc>
          <w:tcPr>
            <w:tcW w:type="dxa" w:w="1247"/>
          </w:tcPr>
          <w:p>
            <w:pPr>
              <w:spacing w:after="0"/>
            </w:pPr>
            <w:r/>
            <w:r>
              <w:rPr>
                <w:b w:val="0"/>
                <w:i w:val="0"/>
              </w:rPr>
              <w:t>Public</w:t>
            </w:r>
          </w:p>
        </w:tc>
        <w:tc>
          <w:tcPr>
            <w:tcW w:type="dxa" w:w="2041"/>
          </w:tcPr>
          <w:p>
            <w:pPr>
              <w:spacing w:after="0"/>
            </w:pPr>
            <w:r/>
            <w:r>
              <w:rPr>
                <w:b w:val="0"/>
                <w:i w:val="0"/>
              </w:rPr>
              <w:t>Approved for public release.</w:t>
            </w:r>
          </w:p>
        </w:tc>
        <w:tc>
          <w:tcPr>
            <w:tcW w:type="dxa" w:w="2835"/>
          </w:tcPr>
          <w:p>
            <w:pPr>
              <w:spacing w:after="0"/>
            </w:pPr>
            <w:r/>
            <w:r>
              <w:rPr>
                <w:b w:val="0"/>
                <w:i w:val="0"/>
              </w:rPr>
              <w:t>Published website content, public notices.</w:t>
            </w:r>
          </w:p>
        </w:tc>
        <w:tc>
          <w:tcPr>
            <w:tcW w:type="dxa" w:w="2835"/>
          </w:tcPr>
          <w:p>
            <w:pPr>
              <w:spacing w:after="0"/>
            </w:pPr>
            <w:r/>
            <w:r>
              <w:rPr>
                <w:b w:val="0"/>
                <w:i w:val="0"/>
              </w:rPr>
              <w:t>No limit on disclosure. Protect against unauthorised change.</w:t>
            </w:r>
          </w:p>
        </w:tc>
      </w:tr>
      <w:tr>
        <w:tc>
          <w:tcPr>
            <w:tcW w:type="dxa" w:w="680"/>
          </w:tcPr>
          <w:p>
            <w:pPr>
              <w:spacing w:after="0"/>
              <w:jc w:val="center"/>
            </w:pPr>
            <w:r/>
            <w:r>
              <w:rPr>
                <w:b w:val="0"/>
                <w:i w:val="0"/>
              </w:rPr>
              <w:t>2</w:t>
            </w:r>
          </w:p>
        </w:tc>
        <w:tc>
          <w:tcPr>
            <w:tcW w:type="dxa" w:w="1247"/>
          </w:tcPr>
          <w:p>
            <w:pPr>
              <w:spacing w:after="0"/>
            </w:pPr>
            <w:r/>
            <w:r>
              <w:rPr>
                <w:b w:val="0"/>
                <w:i w:val="0"/>
              </w:rPr>
              <w:t>Internal</w:t>
            </w:r>
          </w:p>
        </w:tc>
        <w:tc>
          <w:tcPr>
            <w:tcW w:type="dxa" w:w="2041"/>
          </w:tcPr>
          <w:p>
            <w:pPr>
              <w:spacing w:after="0"/>
            </w:pPr>
            <w:r/>
            <w:r>
              <w:rPr>
                <w:b w:val="0"/>
                <w:i w:val="0"/>
              </w:rPr>
              <w:t>Meant for Company staff only.</w:t>
            </w:r>
          </w:p>
        </w:tc>
        <w:tc>
          <w:tcPr>
            <w:tcW w:type="dxa" w:w="2835"/>
          </w:tcPr>
          <w:p>
            <w:pPr>
              <w:spacing w:after="0"/>
            </w:pPr>
            <w:r/>
            <w:r>
              <w:rPr>
                <w:b w:val="0"/>
                <w:i w:val="0"/>
              </w:rPr>
              <w:t>Internal procedures, project plans, general training material.</w:t>
            </w:r>
          </w:p>
        </w:tc>
        <w:tc>
          <w:tcPr>
            <w:tcW w:type="dxa" w:w="2835"/>
          </w:tcPr>
          <w:p>
            <w:pPr>
              <w:spacing w:after="0"/>
            </w:pPr>
            <w:r/>
            <w:r>
              <w:rPr>
                <w:b w:val="0"/>
                <w:i w:val="0"/>
              </w:rPr>
              <w:t>Share only with staff and authorised contractors. Do not post publicly.</w:t>
            </w:r>
          </w:p>
        </w:tc>
      </w:tr>
      <w:tr>
        <w:tc>
          <w:tcPr>
            <w:tcW w:type="dxa" w:w="680"/>
          </w:tcPr>
          <w:p>
            <w:pPr>
              <w:spacing w:after="0"/>
              <w:jc w:val="center"/>
            </w:pPr>
            <w:r/>
            <w:r>
              <w:rPr>
                <w:b w:val="0"/>
                <w:i w:val="0"/>
              </w:rPr>
              <w:t>3</w:t>
            </w:r>
          </w:p>
        </w:tc>
        <w:tc>
          <w:tcPr>
            <w:tcW w:type="dxa" w:w="1247"/>
          </w:tcPr>
          <w:p>
            <w:pPr>
              <w:spacing w:after="0"/>
            </w:pPr>
            <w:r/>
            <w:r>
              <w:rPr>
                <w:b w:val="0"/>
                <w:i w:val="0"/>
              </w:rPr>
              <w:t>Confidential</w:t>
            </w:r>
          </w:p>
        </w:tc>
        <w:tc>
          <w:tcPr>
            <w:tcW w:type="dxa" w:w="2041"/>
          </w:tcPr>
          <w:p>
            <w:pPr>
              <w:spacing w:after="0"/>
            </w:pPr>
            <w:r/>
            <w:r>
              <w:rPr>
                <w:b w:val="0"/>
                <w:i w:val="0"/>
              </w:rPr>
              <w:t>Business or client data whose disclosure could cause harm.</w:t>
            </w:r>
          </w:p>
        </w:tc>
        <w:tc>
          <w:tcPr>
            <w:tcW w:type="dxa" w:w="2835"/>
          </w:tcPr>
          <w:p>
            <w:pPr>
              <w:spacing w:after="0"/>
            </w:pPr>
            <w:r/>
            <w:r>
              <w:rPr>
                <w:b w:val="0"/>
                <w:i w:val="0"/>
              </w:rPr>
              <w:t>Client requirements and designs, source code, architecture, configuration, commercial proposals.</w:t>
            </w:r>
          </w:p>
        </w:tc>
        <w:tc>
          <w:tcPr>
            <w:tcW w:type="dxa" w:w="2835"/>
          </w:tcPr>
          <w:p>
            <w:pPr>
              <w:spacing w:after="0"/>
            </w:pPr>
            <w:r/>
            <w:r>
              <w:rPr>
                <w:b w:val="0"/>
                <w:i w:val="0"/>
              </w:rPr>
              <w:t>Need-to-know access. Encrypt in transit. Store only on Company-approved systems.</w:t>
            </w:r>
          </w:p>
        </w:tc>
      </w:tr>
      <w:tr>
        <w:tc>
          <w:tcPr>
            <w:tcW w:type="dxa" w:w="680"/>
          </w:tcPr>
          <w:p>
            <w:pPr>
              <w:spacing w:after="0"/>
              <w:jc w:val="center"/>
            </w:pPr>
            <w:r/>
            <w:r>
              <w:rPr>
                <w:b w:val="0"/>
                <w:i w:val="0"/>
              </w:rPr>
              <w:t>4</w:t>
            </w:r>
          </w:p>
        </w:tc>
        <w:tc>
          <w:tcPr>
            <w:tcW w:type="dxa" w:w="1247"/>
          </w:tcPr>
          <w:p>
            <w:pPr>
              <w:spacing w:after="0"/>
            </w:pPr>
            <w:r/>
            <w:r>
              <w:rPr>
                <w:b w:val="0"/>
                <w:i w:val="0"/>
              </w:rPr>
              <w:t>Restricted</w:t>
            </w:r>
          </w:p>
        </w:tc>
        <w:tc>
          <w:tcPr>
            <w:tcW w:type="dxa" w:w="2041"/>
          </w:tcPr>
          <w:p>
            <w:pPr>
              <w:spacing w:after="0"/>
            </w:pPr>
            <w:r/>
            <w:r>
              <w:rPr>
                <w:b w:val="0"/>
                <w:i w:val="0"/>
              </w:rPr>
              <w:t>Personal data and secrets. Disclosure could cause serious harm to people or clients.</w:t>
            </w:r>
          </w:p>
        </w:tc>
        <w:tc>
          <w:tcPr>
            <w:tcW w:type="dxa" w:w="2835"/>
          </w:tcPr>
          <w:p>
            <w:pPr>
              <w:spacing w:after="0"/>
            </w:pPr>
            <w:r/>
            <w:r>
              <w:rPr>
                <w:b w:val="0"/>
                <w:i w:val="0"/>
              </w:rPr>
              <w:t>Names, mobile numbers, addresses, Aadhaar numbers and identity documents of citizens or candidates; payroll data; passwords, API keys, encryption keys and private keys.</w:t>
            </w:r>
          </w:p>
        </w:tc>
        <w:tc>
          <w:tcPr>
            <w:tcW w:type="dxa" w:w="2835"/>
          </w:tcPr>
          <w:p>
            <w:pPr>
              <w:spacing w:after="0"/>
            </w:pPr>
            <w:r/>
            <w:r>
              <w:rPr>
                <w:b w:val="0"/>
                <w:i w:val="0"/>
              </w:rPr>
              <w:t>Access only with data owner approval. Encrypt in transit and at rest. Never place in source code, email, chat or test environments. Mask in logs and reports.</w:t>
            </w:r>
          </w:p>
        </w:tc>
      </w:tr>
    </w:tbl>
    <w:p/>
    <w:p>
      <w:pPr>
        <w:pStyle w:val="Heading1"/>
      </w:pPr>
      <w:r>
        <w:t>5. Roles and responsibilities (RACI matrix)</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680"/>
            <w:shd w:val="clear" w:color="auto" w:fill="1F3864"/>
          </w:tcPr>
          <w:p>
            <w:pPr>
              <w:spacing w:after="0"/>
            </w:pPr>
            <w:r/>
            <w:r>
              <w:rPr>
                <w:b/>
                <w:i w:val="0"/>
                <w:color w:val="FFFFFF"/>
              </w:rPr>
              <w:t>Sl. No.</w:t>
            </w:r>
          </w:p>
        </w:tc>
        <w:tc>
          <w:tcPr>
            <w:tcW w:type="dxa" w:w="3515"/>
            <w:shd w:val="clear" w:color="auto" w:fill="1F3864"/>
          </w:tcPr>
          <w:p>
            <w:pPr>
              <w:spacing w:after="0"/>
            </w:pPr>
            <w:r/>
            <w:r>
              <w:rPr>
                <w:b/>
                <w:i w:val="0"/>
                <w:color w:val="FFFFFF"/>
              </w:rPr>
              <w:t>Activity</w:t>
            </w:r>
          </w:p>
        </w:tc>
        <w:tc>
          <w:tcPr>
            <w:tcW w:type="dxa" w:w="907"/>
            <w:shd w:val="clear" w:color="auto" w:fill="1F3864"/>
          </w:tcPr>
          <w:p>
            <w:pPr>
              <w:spacing w:after="0"/>
            </w:pPr>
            <w:r/>
            <w:r>
              <w:rPr>
                <w:b/>
                <w:i w:val="0"/>
                <w:color w:val="FFFFFF"/>
              </w:rPr>
              <w:t>Mgmt</w:t>
            </w:r>
          </w:p>
        </w:tc>
        <w:tc>
          <w:tcPr>
            <w:tcW w:type="dxa" w:w="907"/>
            <w:shd w:val="clear" w:color="auto" w:fill="1F3864"/>
          </w:tcPr>
          <w:p>
            <w:pPr>
              <w:spacing w:after="0"/>
            </w:pPr>
            <w:r/>
            <w:r>
              <w:rPr>
                <w:b/>
                <w:i w:val="0"/>
                <w:color w:val="FFFFFF"/>
              </w:rPr>
              <w:t>ISO</w:t>
            </w:r>
          </w:p>
        </w:tc>
        <w:tc>
          <w:tcPr>
            <w:tcW w:type="dxa" w:w="907"/>
            <w:shd w:val="clear" w:color="auto" w:fill="1F3864"/>
          </w:tcPr>
          <w:p>
            <w:pPr>
              <w:spacing w:after="0"/>
            </w:pPr>
            <w:r/>
            <w:r>
              <w:rPr>
                <w:b/>
                <w:i w:val="0"/>
                <w:color w:val="FFFFFF"/>
              </w:rPr>
              <w:t>PM</w:t>
            </w:r>
          </w:p>
        </w:tc>
        <w:tc>
          <w:tcPr>
            <w:tcW w:type="dxa" w:w="907"/>
            <w:shd w:val="clear" w:color="auto" w:fill="1F3864"/>
          </w:tcPr>
          <w:p>
            <w:pPr>
              <w:spacing w:after="0"/>
            </w:pPr>
            <w:r/>
            <w:r>
              <w:rPr>
                <w:b/>
                <w:i w:val="0"/>
                <w:color w:val="FFFFFF"/>
              </w:rPr>
              <w:t>Dev</w:t>
            </w:r>
          </w:p>
        </w:tc>
        <w:tc>
          <w:tcPr>
            <w:tcW w:type="dxa" w:w="907"/>
            <w:shd w:val="clear" w:color="auto" w:fill="1F3864"/>
          </w:tcPr>
          <w:p>
            <w:pPr>
              <w:spacing w:after="0"/>
            </w:pPr>
            <w:r/>
            <w:r>
              <w:rPr>
                <w:b/>
                <w:i w:val="0"/>
                <w:color w:val="FFFFFF"/>
              </w:rPr>
              <w:t>DevOps</w:t>
            </w:r>
          </w:p>
        </w:tc>
        <w:tc>
          <w:tcPr>
            <w:tcW w:type="dxa" w:w="907"/>
            <w:shd w:val="clear" w:color="auto" w:fill="1F3864"/>
          </w:tcPr>
          <w:p>
            <w:pPr>
              <w:spacing w:after="0"/>
            </w:pPr>
            <w:r/>
            <w:r>
              <w:rPr>
                <w:b/>
                <w:i w:val="0"/>
                <w:color w:val="FFFFFF"/>
              </w:rPr>
              <w:t>Staff</w:t>
            </w:r>
          </w:p>
        </w:tc>
      </w:tr>
      <w:tr>
        <w:tc>
          <w:tcPr>
            <w:tcW w:type="dxa" w:w="680"/>
          </w:tcPr>
          <w:p>
            <w:pPr>
              <w:spacing w:after="0"/>
              <w:jc w:val="center"/>
            </w:pPr>
            <w:r/>
            <w:r>
              <w:rPr>
                <w:b w:val="0"/>
                <w:i w:val="0"/>
              </w:rPr>
              <w:t>1</w:t>
            </w:r>
          </w:p>
        </w:tc>
        <w:tc>
          <w:tcPr>
            <w:tcW w:type="dxa" w:w="3515"/>
          </w:tcPr>
          <w:p>
            <w:pPr>
              <w:spacing w:after="0"/>
            </w:pPr>
            <w:r/>
            <w:r>
              <w:rPr>
                <w:b w:val="0"/>
                <w:i w:val="0"/>
              </w:rPr>
              <w:t>Approve this policy and provide resources</w:t>
            </w:r>
          </w:p>
        </w:tc>
        <w:tc>
          <w:tcPr>
            <w:tcW w:type="dxa" w:w="907"/>
          </w:tcPr>
          <w:p>
            <w:pPr>
              <w:spacing w:after="0"/>
            </w:pPr>
            <w:r/>
            <w:r>
              <w:rPr>
                <w:b w:val="0"/>
                <w:i w:val="0"/>
              </w:rPr>
              <w:t>A</w:t>
            </w:r>
          </w:p>
        </w:tc>
        <w:tc>
          <w:tcPr>
            <w:tcW w:type="dxa" w:w="907"/>
          </w:tcPr>
          <w:p>
            <w:pPr>
              <w:spacing w:after="0"/>
            </w:pPr>
            <w:r/>
            <w:r>
              <w:rPr>
                <w:b w:val="0"/>
                <w:i w:val="0"/>
              </w:rPr>
              <w:t>R</w:t>
            </w:r>
          </w:p>
        </w:tc>
        <w:tc>
          <w:tcPr>
            <w:tcW w:type="dxa" w:w="907"/>
          </w:tcPr>
          <w:p>
            <w:pPr>
              <w:spacing w:after="0"/>
            </w:pPr>
            <w:r/>
            <w:r>
              <w:rPr>
                <w:b w:val="0"/>
                <w:i w:val="0"/>
              </w:rPr>
              <w:t>I</w:t>
            </w:r>
          </w:p>
        </w:tc>
        <w:tc>
          <w:tcPr>
            <w:tcW w:type="dxa" w:w="907"/>
          </w:tcPr>
          <w:p>
            <w:pPr>
              <w:spacing w:after="0"/>
            </w:pPr>
            <w:r/>
            <w:r>
              <w:rPr>
                <w:b w:val="0"/>
                <w:i w:val="0"/>
              </w:rPr>
              <w:t>I</w:t>
            </w:r>
          </w:p>
        </w:tc>
        <w:tc>
          <w:tcPr>
            <w:tcW w:type="dxa" w:w="907"/>
          </w:tcPr>
          <w:p>
            <w:pPr>
              <w:spacing w:after="0"/>
            </w:pPr>
            <w:r/>
            <w:r>
              <w:rPr>
                <w:b w:val="0"/>
                <w:i w:val="0"/>
              </w:rPr>
              <w:t>I</w:t>
            </w:r>
          </w:p>
        </w:tc>
        <w:tc>
          <w:tcPr>
            <w:tcW w:type="dxa" w:w="907"/>
          </w:tcPr>
          <w:p>
            <w:pPr>
              <w:spacing w:after="0"/>
            </w:pPr>
            <w:r/>
            <w:r>
              <w:rPr>
                <w:b w:val="0"/>
                <w:i w:val="0"/>
              </w:rPr>
              <w:t>I</w:t>
            </w:r>
          </w:p>
        </w:tc>
      </w:tr>
      <w:tr>
        <w:tc>
          <w:tcPr>
            <w:tcW w:type="dxa" w:w="680"/>
          </w:tcPr>
          <w:p>
            <w:pPr>
              <w:spacing w:after="0"/>
              <w:jc w:val="center"/>
            </w:pPr>
            <w:r/>
            <w:r>
              <w:rPr>
                <w:b w:val="0"/>
                <w:i w:val="0"/>
              </w:rPr>
              <w:t>2</w:t>
            </w:r>
          </w:p>
        </w:tc>
        <w:tc>
          <w:tcPr>
            <w:tcW w:type="dxa" w:w="3515"/>
          </w:tcPr>
          <w:p>
            <w:pPr>
              <w:spacing w:after="0"/>
            </w:pPr>
            <w:r/>
            <w:r>
              <w:rPr>
                <w:b w:val="0"/>
                <w:i w:val="0"/>
              </w:rPr>
              <w:t>Classify project data</w:t>
            </w:r>
          </w:p>
        </w:tc>
        <w:tc>
          <w:tcPr>
            <w:tcW w:type="dxa" w:w="907"/>
          </w:tcPr>
          <w:p>
            <w:pPr>
              <w:spacing w:after="0"/>
            </w:pPr>
            <w:r/>
            <w:r>
              <w:rPr>
                <w:b w:val="0"/>
                <w:i w:val="0"/>
              </w:rPr>
              <w:t>I</w:t>
            </w:r>
          </w:p>
        </w:tc>
        <w:tc>
          <w:tcPr>
            <w:tcW w:type="dxa" w:w="907"/>
          </w:tcPr>
          <w:p>
            <w:pPr>
              <w:spacing w:after="0"/>
            </w:pPr>
            <w:r/>
            <w:r>
              <w:rPr>
                <w:b w:val="0"/>
                <w:i w:val="0"/>
              </w:rPr>
              <w:t>C</w:t>
            </w:r>
          </w:p>
        </w:tc>
        <w:tc>
          <w:tcPr>
            <w:tcW w:type="dxa" w:w="907"/>
          </w:tcPr>
          <w:p>
            <w:pPr>
              <w:spacing w:after="0"/>
            </w:pPr>
            <w:r/>
            <w:r>
              <w:rPr>
                <w:b w:val="0"/>
                <w:i w:val="0"/>
              </w:rPr>
              <w:t>A/R</w:t>
            </w:r>
          </w:p>
        </w:tc>
        <w:tc>
          <w:tcPr>
            <w:tcW w:type="dxa" w:w="907"/>
          </w:tcPr>
          <w:p>
            <w:pPr>
              <w:spacing w:after="0"/>
            </w:pPr>
            <w:r/>
            <w:r>
              <w:rPr>
                <w:b w:val="0"/>
                <w:i w:val="0"/>
              </w:rPr>
              <w:t>C</w:t>
            </w:r>
          </w:p>
        </w:tc>
        <w:tc>
          <w:tcPr>
            <w:tcW w:type="dxa" w:w="907"/>
          </w:tcPr>
          <w:p>
            <w:pPr>
              <w:spacing w:after="0"/>
            </w:pPr>
            <w:r/>
            <w:r>
              <w:rPr>
                <w:b w:val="0"/>
                <w:i w:val="0"/>
              </w:rPr>
              <w:t>I</w:t>
            </w:r>
          </w:p>
        </w:tc>
        <w:tc>
          <w:tcPr>
            <w:tcW w:type="dxa" w:w="907"/>
          </w:tcPr>
          <w:p>
            <w:pPr>
              <w:spacing w:after="0"/>
            </w:pPr>
            <w:r/>
            <w:r>
              <w:rPr>
                <w:b w:val="0"/>
                <w:i w:val="0"/>
              </w:rPr>
              <w:t>–</w:t>
            </w:r>
          </w:p>
        </w:tc>
      </w:tr>
      <w:tr>
        <w:tc>
          <w:tcPr>
            <w:tcW w:type="dxa" w:w="680"/>
          </w:tcPr>
          <w:p>
            <w:pPr>
              <w:spacing w:after="0"/>
              <w:jc w:val="center"/>
            </w:pPr>
            <w:r/>
            <w:r>
              <w:rPr>
                <w:b w:val="0"/>
                <w:i w:val="0"/>
              </w:rPr>
              <w:t>3</w:t>
            </w:r>
          </w:p>
        </w:tc>
        <w:tc>
          <w:tcPr>
            <w:tcW w:type="dxa" w:w="3515"/>
          </w:tcPr>
          <w:p>
            <w:pPr>
              <w:spacing w:after="0"/>
            </w:pPr>
            <w:r/>
            <w:r>
              <w:rPr>
                <w:b w:val="0"/>
                <w:i w:val="0"/>
              </w:rPr>
              <w:t>Grant, review and remove user access</w:t>
            </w:r>
          </w:p>
        </w:tc>
        <w:tc>
          <w:tcPr>
            <w:tcW w:type="dxa" w:w="907"/>
          </w:tcPr>
          <w:p>
            <w:pPr>
              <w:spacing w:after="0"/>
            </w:pPr>
            <w:r/>
            <w:r>
              <w:rPr>
                <w:b w:val="0"/>
                <w:i w:val="0"/>
              </w:rPr>
              <w:t>I</w:t>
            </w:r>
          </w:p>
        </w:tc>
        <w:tc>
          <w:tcPr>
            <w:tcW w:type="dxa" w:w="907"/>
          </w:tcPr>
          <w:p>
            <w:pPr>
              <w:spacing w:after="0"/>
            </w:pPr>
            <w:r/>
            <w:r>
              <w:rPr>
                <w:b w:val="0"/>
                <w:i w:val="0"/>
              </w:rPr>
              <w:t>A</w:t>
            </w:r>
          </w:p>
        </w:tc>
        <w:tc>
          <w:tcPr>
            <w:tcW w:type="dxa" w:w="907"/>
          </w:tcPr>
          <w:p>
            <w:pPr>
              <w:spacing w:after="0"/>
            </w:pPr>
            <w:r/>
            <w:r>
              <w:rPr>
                <w:b w:val="0"/>
                <w:i w:val="0"/>
              </w:rPr>
              <w:t>R</w:t>
            </w:r>
          </w:p>
        </w:tc>
        <w:tc>
          <w:tcPr>
            <w:tcW w:type="dxa" w:w="907"/>
          </w:tcPr>
          <w:p>
            <w:pPr>
              <w:spacing w:after="0"/>
            </w:pPr>
            <w:r/>
            <w:r>
              <w:rPr>
                <w:b w:val="0"/>
                <w:i w:val="0"/>
              </w:rPr>
              <w:t>I</w:t>
            </w:r>
          </w:p>
        </w:tc>
        <w:tc>
          <w:tcPr>
            <w:tcW w:type="dxa" w:w="907"/>
          </w:tcPr>
          <w:p>
            <w:pPr>
              <w:spacing w:after="0"/>
            </w:pPr>
            <w:r/>
            <w:r>
              <w:rPr>
                <w:b w:val="0"/>
                <w:i w:val="0"/>
              </w:rPr>
              <w:t>R</w:t>
            </w:r>
          </w:p>
        </w:tc>
        <w:tc>
          <w:tcPr>
            <w:tcW w:type="dxa" w:w="907"/>
          </w:tcPr>
          <w:p>
            <w:pPr>
              <w:spacing w:after="0"/>
            </w:pPr>
            <w:r/>
            <w:r>
              <w:rPr>
                <w:b w:val="0"/>
                <w:i w:val="0"/>
              </w:rPr>
              <w:t>–</w:t>
            </w:r>
          </w:p>
        </w:tc>
      </w:tr>
      <w:tr>
        <w:tc>
          <w:tcPr>
            <w:tcW w:type="dxa" w:w="680"/>
          </w:tcPr>
          <w:p>
            <w:pPr>
              <w:spacing w:after="0"/>
              <w:jc w:val="center"/>
            </w:pPr>
            <w:r/>
            <w:r>
              <w:rPr>
                <w:b w:val="0"/>
                <w:i w:val="0"/>
              </w:rPr>
              <w:t>4</w:t>
            </w:r>
          </w:p>
        </w:tc>
        <w:tc>
          <w:tcPr>
            <w:tcW w:type="dxa" w:w="3515"/>
          </w:tcPr>
          <w:p>
            <w:pPr>
              <w:spacing w:after="0"/>
            </w:pPr>
            <w:r/>
            <w:r>
              <w:rPr>
                <w:b w:val="0"/>
                <w:i w:val="0"/>
              </w:rPr>
              <w:t>Build security and encryption into applications</w:t>
            </w:r>
          </w:p>
        </w:tc>
        <w:tc>
          <w:tcPr>
            <w:tcW w:type="dxa" w:w="907"/>
          </w:tcPr>
          <w:p>
            <w:pPr>
              <w:spacing w:after="0"/>
            </w:pPr>
            <w:r/>
            <w:r>
              <w:rPr>
                <w:b w:val="0"/>
                <w:i w:val="0"/>
              </w:rPr>
              <w:t>–</w:t>
            </w:r>
          </w:p>
        </w:tc>
        <w:tc>
          <w:tcPr>
            <w:tcW w:type="dxa" w:w="907"/>
          </w:tcPr>
          <w:p>
            <w:pPr>
              <w:spacing w:after="0"/>
            </w:pPr>
            <w:r/>
            <w:r>
              <w:rPr>
                <w:b w:val="0"/>
                <w:i w:val="0"/>
              </w:rPr>
              <w:t>C</w:t>
            </w:r>
          </w:p>
        </w:tc>
        <w:tc>
          <w:tcPr>
            <w:tcW w:type="dxa" w:w="907"/>
          </w:tcPr>
          <w:p>
            <w:pPr>
              <w:spacing w:after="0"/>
            </w:pPr>
            <w:r/>
            <w:r>
              <w:rPr>
                <w:b w:val="0"/>
                <w:i w:val="0"/>
              </w:rPr>
              <w:t>A</w:t>
            </w:r>
          </w:p>
        </w:tc>
        <w:tc>
          <w:tcPr>
            <w:tcW w:type="dxa" w:w="907"/>
          </w:tcPr>
          <w:p>
            <w:pPr>
              <w:spacing w:after="0"/>
            </w:pPr>
            <w:r/>
            <w:r>
              <w:rPr>
                <w:b w:val="0"/>
                <w:i w:val="0"/>
              </w:rPr>
              <w:t>R</w:t>
            </w:r>
          </w:p>
        </w:tc>
        <w:tc>
          <w:tcPr>
            <w:tcW w:type="dxa" w:w="907"/>
          </w:tcPr>
          <w:p>
            <w:pPr>
              <w:spacing w:after="0"/>
            </w:pPr>
            <w:r/>
            <w:r>
              <w:rPr>
                <w:b w:val="0"/>
                <w:i w:val="0"/>
              </w:rPr>
              <w:t>C</w:t>
            </w:r>
          </w:p>
        </w:tc>
        <w:tc>
          <w:tcPr>
            <w:tcW w:type="dxa" w:w="907"/>
          </w:tcPr>
          <w:p>
            <w:pPr>
              <w:spacing w:after="0"/>
            </w:pPr>
            <w:r/>
            <w:r>
              <w:rPr>
                <w:b w:val="0"/>
                <w:i w:val="0"/>
              </w:rPr>
              <w:t>–</w:t>
            </w:r>
          </w:p>
        </w:tc>
      </w:tr>
      <w:tr>
        <w:tc>
          <w:tcPr>
            <w:tcW w:type="dxa" w:w="680"/>
          </w:tcPr>
          <w:p>
            <w:pPr>
              <w:spacing w:after="0"/>
              <w:jc w:val="center"/>
            </w:pPr>
            <w:r/>
            <w:r>
              <w:rPr>
                <w:b w:val="0"/>
                <w:i w:val="0"/>
              </w:rPr>
              <w:t>5</w:t>
            </w:r>
          </w:p>
        </w:tc>
        <w:tc>
          <w:tcPr>
            <w:tcW w:type="dxa" w:w="3515"/>
          </w:tcPr>
          <w:p>
            <w:pPr>
              <w:spacing w:after="0"/>
            </w:pPr>
            <w:r/>
            <w:r>
              <w:rPr>
                <w:b w:val="0"/>
                <w:i w:val="0"/>
              </w:rPr>
              <w:t>Manage servers, certificates, keys and backups</w:t>
            </w:r>
          </w:p>
        </w:tc>
        <w:tc>
          <w:tcPr>
            <w:tcW w:type="dxa" w:w="907"/>
          </w:tcPr>
          <w:p>
            <w:pPr>
              <w:spacing w:after="0"/>
            </w:pPr>
            <w:r/>
            <w:r>
              <w:rPr>
                <w:b w:val="0"/>
                <w:i w:val="0"/>
              </w:rPr>
              <w:t>–</w:t>
            </w:r>
          </w:p>
        </w:tc>
        <w:tc>
          <w:tcPr>
            <w:tcW w:type="dxa" w:w="907"/>
          </w:tcPr>
          <w:p>
            <w:pPr>
              <w:spacing w:after="0"/>
            </w:pPr>
            <w:r/>
            <w:r>
              <w:rPr>
                <w:b w:val="0"/>
                <w:i w:val="0"/>
              </w:rPr>
              <w:t>A</w:t>
            </w:r>
          </w:p>
        </w:tc>
        <w:tc>
          <w:tcPr>
            <w:tcW w:type="dxa" w:w="907"/>
          </w:tcPr>
          <w:p>
            <w:pPr>
              <w:spacing w:after="0"/>
            </w:pPr>
            <w:r/>
            <w:r>
              <w:rPr>
                <w:b w:val="0"/>
                <w:i w:val="0"/>
              </w:rPr>
              <w:t>I</w:t>
            </w:r>
          </w:p>
        </w:tc>
        <w:tc>
          <w:tcPr>
            <w:tcW w:type="dxa" w:w="907"/>
          </w:tcPr>
          <w:p>
            <w:pPr>
              <w:spacing w:after="0"/>
            </w:pPr>
            <w:r/>
            <w:r>
              <w:rPr>
                <w:b w:val="0"/>
                <w:i w:val="0"/>
              </w:rPr>
              <w:t>C</w:t>
            </w:r>
          </w:p>
        </w:tc>
        <w:tc>
          <w:tcPr>
            <w:tcW w:type="dxa" w:w="907"/>
          </w:tcPr>
          <w:p>
            <w:pPr>
              <w:spacing w:after="0"/>
            </w:pPr>
            <w:r/>
            <w:r>
              <w:rPr>
                <w:b w:val="0"/>
                <w:i w:val="0"/>
              </w:rPr>
              <w:t>R</w:t>
            </w:r>
          </w:p>
        </w:tc>
        <w:tc>
          <w:tcPr>
            <w:tcW w:type="dxa" w:w="907"/>
          </w:tcPr>
          <w:p>
            <w:pPr>
              <w:spacing w:after="0"/>
            </w:pPr>
            <w:r/>
            <w:r>
              <w:rPr>
                <w:b w:val="0"/>
                <w:i w:val="0"/>
              </w:rPr>
              <w:t>–</w:t>
            </w:r>
          </w:p>
        </w:tc>
      </w:tr>
      <w:tr>
        <w:tc>
          <w:tcPr>
            <w:tcW w:type="dxa" w:w="680"/>
          </w:tcPr>
          <w:p>
            <w:pPr>
              <w:spacing w:after="0"/>
              <w:jc w:val="center"/>
            </w:pPr>
            <w:r/>
            <w:r>
              <w:rPr>
                <w:b w:val="0"/>
                <w:i w:val="0"/>
              </w:rPr>
              <w:t>6</w:t>
            </w:r>
          </w:p>
        </w:tc>
        <w:tc>
          <w:tcPr>
            <w:tcW w:type="dxa" w:w="3515"/>
          </w:tcPr>
          <w:p>
            <w:pPr>
              <w:spacing w:after="0"/>
            </w:pPr>
            <w:r/>
            <w:r>
              <w:rPr>
                <w:b w:val="0"/>
                <w:i w:val="0"/>
              </w:rPr>
              <w:t>Report security incidents</w:t>
            </w:r>
          </w:p>
        </w:tc>
        <w:tc>
          <w:tcPr>
            <w:tcW w:type="dxa" w:w="907"/>
          </w:tcPr>
          <w:p>
            <w:pPr>
              <w:spacing w:after="0"/>
            </w:pPr>
            <w:r/>
            <w:r>
              <w:rPr>
                <w:b w:val="0"/>
                <w:i w:val="0"/>
              </w:rPr>
              <w:t>I</w:t>
            </w:r>
          </w:p>
        </w:tc>
        <w:tc>
          <w:tcPr>
            <w:tcW w:type="dxa" w:w="907"/>
          </w:tcPr>
          <w:p>
            <w:pPr>
              <w:spacing w:after="0"/>
            </w:pPr>
            <w:r/>
            <w:r>
              <w:rPr>
                <w:b w:val="0"/>
                <w:i w:val="0"/>
              </w:rPr>
              <w:t>A</w:t>
            </w:r>
          </w:p>
        </w:tc>
        <w:tc>
          <w:tcPr>
            <w:tcW w:type="dxa" w:w="907"/>
          </w:tcPr>
          <w:p>
            <w:pPr>
              <w:spacing w:after="0"/>
            </w:pPr>
            <w:r/>
            <w:r>
              <w:rPr>
                <w:b w:val="0"/>
                <w:i w:val="0"/>
              </w:rPr>
              <w:t>R</w:t>
            </w:r>
          </w:p>
        </w:tc>
        <w:tc>
          <w:tcPr>
            <w:tcW w:type="dxa" w:w="907"/>
          </w:tcPr>
          <w:p>
            <w:pPr>
              <w:spacing w:after="0"/>
            </w:pPr>
            <w:r/>
            <w:r>
              <w:rPr>
                <w:b w:val="0"/>
                <w:i w:val="0"/>
              </w:rPr>
              <w:t>R</w:t>
            </w:r>
          </w:p>
        </w:tc>
        <w:tc>
          <w:tcPr>
            <w:tcW w:type="dxa" w:w="907"/>
          </w:tcPr>
          <w:p>
            <w:pPr>
              <w:spacing w:after="0"/>
            </w:pPr>
            <w:r/>
            <w:r>
              <w:rPr>
                <w:b w:val="0"/>
                <w:i w:val="0"/>
              </w:rPr>
              <w:t>R</w:t>
            </w:r>
          </w:p>
        </w:tc>
        <w:tc>
          <w:tcPr>
            <w:tcW w:type="dxa" w:w="907"/>
          </w:tcPr>
          <w:p>
            <w:pPr>
              <w:spacing w:after="0"/>
            </w:pPr>
            <w:r/>
            <w:r>
              <w:rPr>
                <w:b w:val="0"/>
                <w:i w:val="0"/>
              </w:rPr>
              <w:t>R</w:t>
            </w:r>
          </w:p>
        </w:tc>
      </w:tr>
      <w:tr>
        <w:tc>
          <w:tcPr>
            <w:tcW w:type="dxa" w:w="680"/>
          </w:tcPr>
          <w:p>
            <w:pPr>
              <w:spacing w:after="0"/>
              <w:jc w:val="center"/>
            </w:pPr>
            <w:r/>
            <w:r>
              <w:rPr>
                <w:b w:val="0"/>
                <w:i w:val="0"/>
              </w:rPr>
              <w:t>7</w:t>
            </w:r>
          </w:p>
        </w:tc>
        <w:tc>
          <w:tcPr>
            <w:tcW w:type="dxa" w:w="3515"/>
          </w:tcPr>
          <w:p>
            <w:pPr>
              <w:spacing w:after="0"/>
            </w:pPr>
            <w:r/>
            <w:r>
              <w:rPr>
                <w:b w:val="0"/>
                <w:i w:val="0"/>
              </w:rPr>
              <w:t>Conduct awareness training and keep records</w:t>
            </w:r>
          </w:p>
        </w:tc>
        <w:tc>
          <w:tcPr>
            <w:tcW w:type="dxa" w:w="907"/>
          </w:tcPr>
          <w:p>
            <w:pPr>
              <w:spacing w:after="0"/>
            </w:pPr>
            <w:r/>
            <w:r>
              <w:rPr>
                <w:b w:val="0"/>
                <w:i w:val="0"/>
              </w:rPr>
              <w:t>I</w:t>
            </w:r>
          </w:p>
        </w:tc>
        <w:tc>
          <w:tcPr>
            <w:tcW w:type="dxa" w:w="907"/>
          </w:tcPr>
          <w:p>
            <w:pPr>
              <w:spacing w:after="0"/>
            </w:pPr>
            <w:r/>
            <w:r>
              <w:rPr>
                <w:b w:val="0"/>
                <w:i w:val="0"/>
              </w:rPr>
              <w:t>A/R</w:t>
            </w:r>
          </w:p>
        </w:tc>
        <w:tc>
          <w:tcPr>
            <w:tcW w:type="dxa" w:w="907"/>
          </w:tcPr>
          <w:p>
            <w:pPr>
              <w:spacing w:after="0"/>
            </w:pPr>
            <w:r/>
            <w:r>
              <w:rPr>
                <w:b w:val="0"/>
                <w:i w:val="0"/>
              </w:rPr>
              <w:t>C</w:t>
            </w:r>
          </w:p>
        </w:tc>
        <w:tc>
          <w:tcPr>
            <w:tcW w:type="dxa" w:w="907"/>
          </w:tcPr>
          <w:p>
            <w:pPr>
              <w:spacing w:after="0"/>
            </w:pPr>
            <w:r/>
            <w:r>
              <w:rPr>
                <w:b w:val="0"/>
                <w:i w:val="0"/>
              </w:rPr>
              <w:t>R</w:t>
            </w:r>
          </w:p>
        </w:tc>
        <w:tc>
          <w:tcPr>
            <w:tcW w:type="dxa" w:w="907"/>
          </w:tcPr>
          <w:p>
            <w:pPr>
              <w:spacing w:after="0"/>
            </w:pPr>
            <w:r/>
            <w:r>
              <w:rPr>
                <w:b w:val="0"/>
                <w:i w:val="0"/>
              </w:rPr>
              <w:t>R</w:t>
            </w:r>
          </w:p>
        </w:tc>
        <w:tc>
          <w:tcPr>
            <w:tcW w:type="dxa" w:w="907"/>
          </w:tcPr>
          <w:p>
            <w:pPr>
              <w:spacing w:after="0"/>
            </w:pPr>
            <w:r/>
            <w:r>
              <w:rPr>
                <w:b w:val="0"/>
                <w:i w:val="0"/>
              </w:rPr>
              <w:t>R</w:t>
            </w:r>
          </w:p>
        </w:tc>
      </w:tr>
      <w:tr>
        <w:tc>
          <w:tcPr>
            <w:tcW w:type="dxa" w:w="680"/>
          </w:tcPr>
          <w:p>
            <w:pPr>
              <w:spacing w:after="0"/>
              <w:jc w:val="center"/>
            </w:pPr>
            <w:r/>
            <w:r>
              <w:rPr>
                <w:b w:val="0"/>
                <w:i w:val="0"/>
              </w:rPr>
              <w:t>8</w:t>
            </w:r>
          </w:p>
        </w:tc>
        <w:tc>
          <w:tcPr>
            <w:tcW w:type="dxa" w:w="3515"/>
          </w:tcPr>
          <w:p>
            <w:pPr>
              <w:spacing w:after="0"/>
            </w:pPr>
            <w:r/>
            <w:r>
              <w:rPr>
                <w:b w:val="0"/>
                <w:i w:val="0"/>
              </w:rPr>
              <w:t>Review this policy every year</w:t>
            </w:r>
          </w:p>
        </w:tc>
        <w:tc>
          <w:tcPr>
            <w:tcW w:type="dxa" w:w="907"/>
          </w:tcPr>
          <w:p>
            <w:pPr>
              <w:spacing w:after="0"/>
            </w:pPr>
            <w:r/>
            <w:r>
              <w:rPr>
                <w:b w:val="0"/>
                <w:i w:val="0"/>
              </w:rPr>
              <w:t>A</w:t>
            </w:r>
          </w:p>
        </w:tc>
        <w:tc>
          <w:tcPr>
            <w:tcW w:type="dxa" w:w="907"/>
          </w:tcPr>
          <w:p>
            <w:pPr>
              <w:spacing w:after="0"/>
            </w:pPr>
            <w:r/>
            <w:r>
              <w:rPr>
                <w:b w:val="0"/>
                <w:i w:val="0"/>
              </w:rPr>
              <w:t>R</w:t>
            </w:r>
          </w:p>
        </w:tc>
        <w:tc>
          <w:tcPr>
            <w:tcW w:type="dxa" w:w="907"/>
          </w:tcPr>
          <w:p>
            <w:pPr>
              <w:spacing w:after="0"/>
            </w:pPr>
            <w:r/>
            <w:r>
              <w:rPr>
                <w:b w:val="0"/>
                <w:i w:val="0"/>
              </w:rPr>
              <w:t>C</w:t>
            </w:r>
          </w:p>
        </w:tc>
        <w:tc>
          <w:tcPr>
            <w:tcW w:type="dxa" w:w="907"/>
          </w:tcPr>
          <w:p>
            <w:pPr>
              <w:spacing w:after="0"/>
            </w:pPr>
            <w:r/>
            <w:r>
              <w:rPr>
                <w:b w:val="0"/>
                <w:i w:val="0"/>
              </w:rPr>
              <w:t>C</w:t>
            </w:r>
          </w:p>
        </w:tc>
        <w:tc>
          <w:tcPr>
            <w:tcW w:type="dxa" w:w="907"/>
          </w:tcPr>
          <w:p>
            <w:pPr>
              <w:spacing w:after="0"/>
            </w:pPr>
            <w:r/>
            <w:r>
              <w:rPr>
                <w:b w:val="0"/>
                <w:i w:val="0"/>
              </w:rPr>
              <w:t>C</w:t>
            </w:r>
          </w:p>
        </w:tc>
        <w:tc>
          <w:tcPr>
            <w:tcW w:type="dxa" w:w="907"/>
          </w:tcPr>
          <w:p>
            <w:pPr>
              <w:spacing w:after="0"/>
            </w:pPr>
            <w:r/>
            <w:r>
              <w:rPr>
                <w:b w:val="0"/>
                <w:i w:val="0"/>
              </w:rPr>
              <w:t>I</w:t>
            </w:r>
          </w:p>
        </w:tc>
      </w:tr>
    </w:tbl>
    <w:p/>
    <w:p>
      <w:r>
        <w:t>Mgmt: Management. ISO: Information Security Officer. PM: Project Manager. Dev: Development team. DevOps: DevOps / Infrastructure team. Staff: all employees and contractors. R: Responsible. A: Accountable. C: Consulted. I: Informed.</w:t>
      </w:r>
    </w:p>
    <w:p>
      <w:pPr>
        <w:pStyle w:val="Heading1"/>
      </w:pPr>
      <w:r>
        <w:t>6. Access control</w:t>
      </w:r>
    </w:p>
    <w:p>
      <w:pPr>
        <w:pStyle w:val="ListBullet"/>
      </w:pPr>
      <w:r>
        <w:t>Access is given on a need-to-know basis with the least privilege needed for the job. Applications use role-based access control (roles, permissions and role–permission mapping).</w:t>
      </w:r>
    </w:p>
    <w:p>
      <w:pPr>
        <w:pStyle w:val="ListBullet"/>
      </w:pPr>
      <w:r>
        <w:t>Every user has a unique user ID. Shared accounts are not allowed.</w:t>
      </w:r>
    </w:p>
    <w:p>
      <w:pPr>
        <w:pStyle w:val="ListBullet"/>
      </w:pPr>
      <w:r>
        <w:t>Multi-factor authentication (OTP) is used for administrator access to applications and for access to servers, source code repositories and cloud consoles wherever the system supports it.</w:t>
      </w:r>
    </w:p>
    <w:p>
      <w:pPr>
        <w:pStyle w:val="ListBullet"/>
      </w:pPr>
      <w:r>
        <w:t>Passwords have at least 10 characters with upper case, lower case, a number and a special character. Accounts lock after 5 failed attempts. Passwords are stored only as salted hashes (bcrypt).</w:t>
      </w:r>
    </w:p>
    <w:p>
      <w:pPr>
        <w:pStyle w:val="ListBullet"/>
      </w:pPr>
      <w:r>
        <w:t>The Project Manager approves access requests. Production access also needs approval from the Information Security Officer.</w:t>
      </w:r>
    </w:p>
    <w:p>
      <w:pPr>
        <w:pStyle w:val="ListBullet"/>
      </w:pPr>
      <w:r>
        <w:t>Access is removed within one working day when a person leaves or changes role.</w:t>
      </w:r>
    </w:p>
    <w:p>
      <w:pPr>
        <w:pStyle w:val="ListBullet"/>
      </w:pPr>
      <w:r>
        <w:t>All access rights are reviewed every quarter and the review is recorded.</w:t>
      </w:r>
    </w:p>
    <w:p>
      <w:pPr>
        <w:pStyle w:val="ListBullet"/>
      </w:pPr>
      <w:r>
        <w:t>Vendors and third parties are not given access to Company systems or client applications. Any future need requires a signed contract and non-disclosure agreement, a named account with an expiry date, and written approval from the Project Manager and the Information Security Officer.</w:t>
      </w:r>
    </w:p>
    <w:p>
      <w:pPr>
        <w:pStyle w:val="Heading1"/>
      </w:pPr>
      <w:r>
        <w:t>7. Encryption requirements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80"/>
            <w:shd w:val="clear" w:color="auto" w:fill="1F3864"/>
          </w:tcPr>
          <w:p>
            <w:pPr>
              <w:spacing w:after="0"/>
            </w:pPr>
            <w:r/>
            <w:r>
              <w:rPr>
                <w:b/>
                <w:i w:val="0"/>
                <w:color w:val="FFFFFF"/>
              </w:rPr>
              <w:t>Sl. No.</w:t>
            </w:r>
          </w:p>
        </w:tc>
        <w:tc>
          <w:tcPr>
            <w:tcW w:type="dxa" w:w="3402"/>
            <w:shd w:val="clear" w:color="auto" w:fill="1F3864"/>
          </w:tcPr>
          <w:p>
            <w:pPr>
              <w:spacing w:after="0"/>
            </w:pPr>
            <w:r/>
            <w:r>
              <w:rPr>
                <w:b/>
                <w:i w:val="0"/>
                <w:color w:val="FFFFFF"/>
              </w:rPr>
              <w:t>Data</w:t>
            </w:r>
          </w:p>
        </w:tc>
        <w:tc>
          <w:tcPr>
            <w:tcW w:type="dxa" w:w="5556"/>
            <w:shd w:val="clear" w:color="auto" w:fill="1F3864"/>
          </w:tcPr>
          <w:p>
            <w:pPr>
              <w:spacing w:after="0"/>
            </w:pPr>
            <w:r/>
            <w:r>
              <w:rPr>
                <w:b/>
                <w:i w:val="0"/>
                <w:color w:val="FFFFFF"/>
              </w:rPr>
              <w:t>Requirement</w:t>
            </w:r>
          </w:p>
        </w:tc>
      </w:tr>
      <w:tr>
        <w:tc>
          <w:tcPr>
            <w:tcW w:type="dxa" w:w="680"/>
          </w:tcPr>
          <w:p>
            <w:pPr>
              <w:spacing w:after="0"/>
              <w:jc w:val="center"/>
            </w:pPr>
            <w:r/>
            <w:r>
              <w:rPr>
                <w:b w:val="0"/>
                <w:i w:val="0"/>
              </w:rPr>
              <w:t>1</w:t>
            </w:r>
          </w:p>
        </w:tc>
        <w:tc>
          <w:tcPr>
            <w:tcW w:type="dxa" w:w="3402"/>
          </w:tcPr>
          <w:p>
            <w:pPr>
              <w:spacing w:after="0"/>
            </w:pPr>
            <w:r/>
            <w:r>
              <w:rPr>
                <w:b w:val="0"/>
                <w:i w:val="0"/>
              </w:rPr>
              <w:t>Data in transit (users, APIs, integrations)</w:t>
            </w:r>
          </w:p>
        </w:tc>
        <w:tc>
          <w:tcPr>
            <w:tcW w:type="dxa" w:w="5556"/>
          </w:tcPr>
          <w:p>
            <w:pPr>
              <w:spacing w:after="0"/>
            </w:pPr>
            <w:r/>
            <w:r>
              <w:rPr>
                <w:b w:val="0"/>
                <w:i w:val="0"/>
              </w:rPr>
              <w:t>TLS 1.3 with certificates from a trusted certificate authority. SSL and TLS 1.0 / 1.1 are disabled. Details are in the Data Transmission Policy.</w:t>
            </w:r>
          </w:p>
        </w:tc>
      </w:tr>
      <w:tr>
        <w:tc>
          <w:tcPr>
            <w:tcW w:type="dxa" w:w="680"/>
          </w:tcPr>
          <w:p>
            <w:pPr>
              <w:spacing w:after="0"/>
              <w:jc w:val="center"/>
            </w:pPr>
            <w:r/>
            <w:r>
              <w:rPr>
                <w:b w:val="0"/>
                <w:i w:val="0"/>
              </w:rPr>
              <w:t>2</w:t>
            </w:r>
          </w:p>
        </w:tc>
        <w:tc>
          <w:tcPr>
            <w:tcW w:type="dxa" w:w="3402"/>
          </w:tcPr>
          <w:p>
            <w:pPr>
              <w:spacing w:after="0"/>
            </w:pPr>
            <w:r/>
            <w:r>
              <w:rPr>
                <w:b w:val="0"/>
                <w:i w:val="0"/>
              </w:rPr>
              <w:t>Data at rest: databases, file and object storage, and backups that hold Confidential or Restricted data</w:t>
            </w:r>
          </w:p>
        </w:tc>
        <w:tc>
          <w:tcPr>
            <w:tcW w:type="dxa" w:w="5556"/>
          </w:tcPr>
          <w:p>
            <w:pPr>
              <w:spacing w:after="0"/>
            </w:pPr>
            <w:r/>
            <w:r>
              <w:rPr>
                <w:b w:val="0"/>
                <w:i w:val="0"/>
              </w:rPr>
              <w:t>AES-256 encryption.</w:t>
            </w:r>
          </w:p>
        </w:tc>
      </w:tr>
      <w:tr>
        <w:tc>
          <w:tcPr>
            <w:tcW w:type="dxa" w:w="680"/>
          </w:tcPr>
          <w:p>
            <w:pPr>
              <w:spacing w:after="0"/>
              <w:jc w:val="center"/>
            </w:pPr>
            <w:r/>
            <w:r>
              <w:rPr>
                <w:b w:val="0"/>
                <w:i w:val="0"/>
              </w:rPr>
              <w:t>3</w:t>
            </w:r>
          </w:p>
        </w:tc>
        <w:tc>
          <w:tcPr>
            <w:tcW w:type="dxa" w:w="3402"/>
          </w:tcPr>
          <w:p>
            <w:pPr>
              <w:spacing w:after="0"/>
            </w:pPr>
            <w:r/>
            <w:r>
              <w:rPr>
                <w:b w:val="0"/>
                <w:i w:val="0"/>
              </w:rPr>
              <w:t>Passwords</w:t>
            </w:r>
          </w:p>
        </w:tc>
        <w:tc>
          <w:tcPr>
            <w:tcW w:type="dxa" w:w="5556"/>
          </w:tcPr>
          <w:p>
            <w:pPr>
              <w:spacing w:after="0"/>
            </w:pPr>
            <w:r/>
            <w:r>
              <w:rPr>
                <w:b w:val="0"/>
                <w:i w:val="0"/>
              </w:rPr>
              <w:t>Salted one-way hash (bcrypt). Never stored or logged in plain text.</w:t>
            </w:r>
          </w:p>
        </w:tc>
      </w:tr>
      <w:tr>
        <w:tc>
          <w:tcPr>
            <w:tcW w:type="dxa" w:w="680"/>
          </w:tcPr>
          <w:p>
            <w:pPr>
              <w:spacing w:after="0"/>
              <w:jc w:val="center"/>
            </w:pPr>
            <w:r/>
            <w:r>
              <w:rPr>
                <w:b w:val="0"/>
                <w:i w:val="0"/>
              </w:rPr>
              <w:t>4</w:t>
            </w:r>
          </w:p>
        </w:tc>
        <w:tc>
          <w:tcPr>
            <w:tcW w:type="dxa" w:w="3402"/>
          </w:tcPr>
          <w:p>
            <w:pPr>
              <w:spacing w:after="0"/>
            </w:pPr>
            <w:r/>
            <w:r>
              <w:rPr>
                <w:b w:val="0"/>
                <w:i w:val="0"/>
              </w:rPr>
              <w:t>OTPs and session tokens</w:t>
            </w:r>
          </w:p>
        </w:tc>
        <w:tc>
          <w:tcPr>
            <w:tcW w:type="dxa" w:w="5556"/>
          </w:tcPr>
          <w:p>
            <w:pPr>
              <w:spacing w:after="0"/>
            </w:pPr>
            <w:r/>
            <w:r>
              <w:rPr>
                <w:b w:val="0"/>
                <w:i w:val="0"/>
              </w:rPr>
              <w:t>Stored only as SHA-256 hashes, with a short expiry.</w:t>
            </w:r>
          </w:p>
        </w:tc>
      </w:tr>
      <w:tr>
        <w:tc>
          <w:tcPr>
            <w:tcW w:type="dxa" w:w="680"/>
          </w:tcPr>
          <w:p>
            <w:pPr>
              <w:spacing w:after="0"/>
              <w:jc w:val="center"/>
            </w:pPr>
            <w:r/>
            <w:r>
              <w:rPr>
                <w:b w:val="0"/>
                <w:i w:val="0"/>
              </w:rPr>
              <w:t>5</w:t>
            </w:r>
          </w:p>
        </w:tc>
        <w:tc>
          <w:tcPr>
            <w:tcW w:type="dxa" w:w="3402"/>
          </w:tcPr>
          <w:p>
            <w:pPr>
              <w:spacing w:after="0"/>
            </w:pPr>
            <w:r/>
            <w:r>
              <w:rPr>
                <w:b w:val="0"/>
                <w:i w:val="0"/>
              </w:rPr>
              <w:t>Login tokens</w:t>
            </w:r>
          </w:p>
        </w:tc>
        <w:tc>
          <w:tcPr>
            <w:tcW w:type="dxa" w:w="5556"/>
          </w:tcPr>
          <w:p>
            <w:pPr>
              <w:spacing w:after="0"/>
            </w:pPr>
            <w:r/>
            <w:r>
              <w:rPr>
                <w:b w:val="0"/>
                <w:i w:val="0"/>
              </w:rPr>
              <w:t>Signed with HMAC-SHA256 or stronger, with a short expiry.</w:t>
            </w:r>
          </w:p>
        </w:tc>
      </w:tr>
      <w:tr>
        <w:tc>
          <w:tcPr>
            <w:tcW w:type="dxa" w:w="680"/>
          </w:tcPr>
          <w:p>
            <w:pPr>
              <w:spacing w:after="0"/>
              <w:jc w:val="center"/>
            </w:pPr>
            <w:r/>
            <w:r>
              <w:rPr>
                <w:b w:val="0"/>
                <w:i w:val="0"/>
              </w:rPr>
              <w:t>6</w:t>
            </w:r>
          </w:p>
        </w:tc>
        <w:tc>
          <w:tcPr>
            <w:tcW w:type="dxa" w:w="3402"/>
          </w:tcPr>
          <w:p>
            <w:pPr>
              <w:spacing w:after="0"/>
            </w:pPr>
            <w:r/>
            <w:r>
              <w:rPr>
                <w:b w:val="0"/>
                <w:i w:val="0"/>
              </w:rPr>
              <w:t>Digital certificates</w:t>
            </w:r>
          </w:p>
        </w:tc>
        <w:tc>
          <w:tcPr>
            <w:tcW w:type="dxa" w:w="5556"/>
          </w:tcPr>
          <w:p>
            <w:pPr>
              <w:spacing w:after="0"/>
            </w:pPr>
            <w:r/>
            <w:r>
              <w:rPr>
                <w:b w:val="0"/>
                <w:i w:val="0"/>
              </w:rPr>
              <w:t>Validity of one year or less, SHA-256 signature, renewed before expiry.</w:t>
            </w:r>
          </w:p>
        </w:tc>
      </w:tr>
      <w:tr>
        <w:tc>
          <w:tcPr>
            <w:tcW w:type="dxa" w:w="680"/>
          </w:tcPr>
          <w:p>
            <w:pPr>
              <w:spacing w:after="0"/>
              <w:jc w:val="center"/>
            </w:pPr>
            <w:r/>
            <w:r>
              <w:rPr>
                <w:b w:val="0"/>
                <w:i w:val="0"/>
              </w:rPr>
              <w:t>7</w:t>
            </w:r>
          </w:p>
        </w:tc>
        <w:tc>
          <w:tcPr>
            <w:tcW w:type="dxa" w:w="3402"/>
          </w:tcPr>
          <w:p>
            <w:pPr>
              <w:spacing w:after="0"/>
            </w:pPr>
            <w:r/>
            <w:r>
              <w:rPr>
                <w:b w:val="0"/>
                <w:i w:val="0"/>
              </w:rPr>
              <w:t>Keys and secrets</w:t>
            </w:r>
          </w:p>
        </w:tc>
        <w:tc>
          <w:tcPr>
            <w:tcW w:type="dxa" w:w="5556"/>
          </w:tcPr>
          <w:p>
            <w:pPr>
              <w:spacing w:after="0"/>
            </w:pPr>
            <w:r/>
            <w:r>
              <w:rPr>
                <w:b w:val="0"/>
                <w:i w:val="0"/>
              </w:rPr>
              <w:t>Kept outside source code in environment-specific secret stores. Access limited to the DevOps team. Rotated at least once a year, and at once if exposed.</w:t>
            </w:r>
          </w:p>
        </w:tc>
      </w:tr>
    </w:tbl>
    <w:p/>
    <w:p>
      <w:pPr>
        <w:pStyle w:val="Heading1"/>
      </w:pPr>
      <w:r>
        <w:t>8. Data in development and testing</w:t>
      </w:r>
    </w:p>
    <w:p>
      <w:pPr>
        <w:pStyle w:val="ListBullet"/>
      </w:pPr>
      <w:r>
        <w:t>Production personal data is not copied to development or UAT environments. Test data is synthetic or masked.</w:t>
      </w:r>
    </w:p>
    <w:p>
      <w:pPr>
        <w:pStyle w:val="ListBullet"/>
      </w:pPr>
      <w:r>
        <w:t>Source code repositories must not contain personal data, passwords, keys or production configuration. Repositories are scanned for secrets before code is merged.</w:t>
      </w:r>
    </w:p>
    <w:p>
      <w:pPr>
        <w:pStyle w:val="ListBullet"/>
      </w:pPr>
      <w:r>
        <w:t>Every code change is reviewed through a pull request before it is merged.</w:t>
      </w:r>
    </w:p>
    <w:p>
      <w:pPr>
        <w:pStyle w:val="ListBullet"/>
      </w:pPr>
      <w:r>
        <w:t>Logs and audit records mask passwords, OTPs, tokens and personal identifiers.</w:t>
      </w:r>
    </w:p>
    <w:p>
      <w:pPr>
        <w:pStyle w:val="Heading1"/>
      </w:pPr>
      <w:r>
        <w:t>9. Backup, retention and disposal</w:t>
      </w:r>
    </w:p>
    <w:p>
      <w:pPr>
        <w:pStyle w:val="ListBullet"/>
      </w:pPr>
      <w:r>
        <w:t>Production backups follow the schedule agreed with the client or hosting provider.</w:t>
      </w:r>
    </w:p>
    <w:p>
      <w:pPr>
        <w:pStyle w:val="ListBullet"/>
      </w:pPr>
      <w:r>
        <w:t>For the Company's own servers, databases are backed up daily, backups are kept for 30 days, and a restore test is done every quarter.</w:t>
      </w:r>
    </w:p>
    <w:p>
      <w:pPr>
        <w:pStyle w:val="ListBullet"/>
      </w:pPr>
      <w:r>
        <w:t>Data is kept only as long as the client contract or the law requires. At the end of a contract, data is returned or deleted as the client instructs, and the deletion is recorded.</w:t>
      </w:r>
    </w:p>
    <w:p>
      <w:pPr>
        <w:pStyle w:val="ListBullet"/>
      </w:pPr>
      <w:r>
        <w:t>Storage media are wiped securely before reuse. Media that cannot be wiped are physically destroyed, and a disposal certificate is kept.</w:t>
      </w:r>
    </w:p>
    <w:p>
      <w:pPr>
        <w:pStyle w:val="Heading1"/>
      </w:pPr>
      <w:r>
        <w:t>10. Awareness and training</w:t>
      </w:r>
    </w:p>
    <w:p>
      <w:pPr>
        <w:pStyle w:val="ListBullet"/>
      </w:pPr>
      <w:r>
        <w:t>Every employee and contractor completes security and data protection awareness training within 30 days of joining, and a refresher once a year.</w:t>
      </w:r>
    </w:p>
    <w:p>
      <w:pPr>
        <w:pStyle w:val="ListBullet"/>
      </w:pPr>
      <w:r>
        <w:t>Training records are kept for at least three years. Each record shows the date, topic, trainer, list of attendees (signed attendance sheet or screenshot from the online session) and assessment result where a test is given.</w:t>
      </w:r>
    </w:p>
    <w:p>
      <w:pPr>
        <w:pStyle w:val="ListBullet"/>
      </w:pPr>
      <w:r>
        <w:t>The Information Security Officer reviews completion every quarter and follows up with anyone who has not completed the training.</w:t>
      </w:r>
    </w:p>
    <w:p>
      <w:pPr>
        <w:pStyle w:val="Heading1"/>
      </w:pPr>
      <w:r>
        <w:t>11. Compliance, exceptions and review</w:t>
      </w:r>
    </w:p>
    <w:p>
      <w:pPr>
        <w:pStyle w:val="ListBullet"/>
      </w:pPr>
      <w:r>
        <w:t>Breach of this policy may lead to disciplinary action, in line with the Company's HR policy.</w:t>
      </w:r>
    </w:p>
    <w:p>
      <w:pPr>
        <w:pStyle w:val="ListBullet"/>
      </w:pPr>
      <w:r>
        <w:t>Any exception must be approved in writing by the Information Security Officer, with a reason and an expiry date, and recorded in the exceptions register.</w:t>
      </w:r>
    </w:p>
    <w:p>
      <w:pPr>
        <w:pStyle w:val="ListBullet"/>
      </w:pPr>
      <w:r>
        <w:t>This policy is reviewed at least once a year, and also after a major security incident, a change in law or a major change in the Company's systems.</w:t>
      </w:r>
    </w:p>
    <w:p>
      <w:pPr>
        <w:pStyle w:val="Heading1"/>
      </w:pPr>
      <w:r>
        <w:t>Approval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1F3864"/>
          </w:tcPr>
          <w:p>
            <w:pPr>
              <w:spacing w:after="0"/>
            </w:pPr>
            <w:r/>
            <w:r>
              <w:rPr>
                <w:b/>
                <w:i w:val="0"/>
                <w:color w:val="FFFFFF"/>
              </w:rPr>
              <w:t>Sl. No.</w:t>
            </w:r>
          </w:p>
        </w:tc>
        <w:tc>
          <w:tcPr>
            <w:tcW w:type="dxa" w:w="1587"/>
            <w:shd w:val="clear" w:color="auto" w:fill="1F3864"/>
          </w:tcPr>
          <w:p>
            <w:pPr>
              <w:spacing w:after="0"/>
            </w:pPr>
            <w:r/>
            <w:r>
              <w:rPr>
                <w:b/>
                <w:i w:val="0"/>
                <w:color w:val="FFFFFF"/>
              </w:rPr>
              <w:t>Role</w:t>
            </w:r>
          </w:p>
        </w:tc>
        <w:tc>
          <w:tcPr>
            <w:tcW w:type="dxa" w:w="2041"/>
            <w:shd w:val="clear" w:color="auto" w:fill="1F3864"/>
          </w:tcPr>
          <w:p>
            <w:pPr>
              <w:spacing w:after="0"/>
            </w:pPr>
            <w:r/>
            <w:r>
              <w:rPr>
                <w:b/>
                <w:i w:val="0"/>
                <w:color w:val="FFFFFF"/>
              </w:rPr>
              <w:t>Name</w:t>
            </w:r>
          </w:p>
        </w:tc>
        <w:tc>
          <w:tcPr>
            <w:tcW w:type="dxa" w:w="1928"/>
            <w:shd w:val="clear" w:color="auto" w:fill="1F3864"/>
          </w:tcPr>
          <w:p>
            <w:pPr>
              <w:spacing w:after="0"/>
            </w:pPr>
            <w:r/>
            <w:r>
              <w:rPr>
                <w:b/>
                <w:i w:val="0"/>
                <w:color w:val="FFFFFF"/>
              </w:rPr>
              <w:t>Designation</w:t>
            </w:r>
          </w:p>
        </w:tc>
        <w:tc>
          <w:tcPr>
            <w:tcW w:type="dxa" w:w="1928"/>
            <w:shd w:val="clear" w:color="auto" w:fill="1F3864"/>
          </w:tcPr>
          <w:p>
            <w:pPr>
              <w:spacing w:after="0"/>
            </w:pPr>
            <w:r/>
            <w:r>
              <w:rPr>
                <w:b/>
                <w:i w:val="0"/>
                <w:color w:val="FFFFFF"/>
              </w:rPr>
              <w:t>Signature</w:t>
            </w:r>
          </w:p>
        </w:tc>
        <w:tc>
          <w:tcPr>
            <w:tcW w:type="dxa" w:w="1474"/>
            <w:shd w:val="clear" w:color="auto" w:fill="1F3864"/>
          </w:tcPr>
          <w:p>
            <w:pPr>
              <w:spacing w:after="0"/>
            </w:pPr>
            <w:r/>
            <w:r>
              <w:rPr>
                <w:b/>
                <w:i w:val="0"/>
                <w:color w:val="FFFFFF"/>
              </w:rPr>
              <w:t>Date</w:t>
            </w:r>
          </w:p>
        </w:tc>
      </w:tr>
      <w:tr>
        <w:tc>
          <w:tcPr>
            <w:tcW w:type="dxa" w:w="680"/>
          </w:tcPr>
          <w:p>
            <w:pPr>
              <w:spacing w:after="0"/>
              <w:jc w:val="center"/>
            </w:pPr>
            <w:r/>
            <w:r>
              <w:rPr>
                <w:b w:val="0"/>
                <w:i w:val="0"/>
              </w:rPr>
              <w:t>1</w:t>
            </w:r>
          </w:p>
        </w:tc>
        <w:tc>
          <w:tcPr>
            <w:tcW w:type="dxa" w:w="1587"/>
          </w:tcPr>
          <w:p>
            <w:pPr>
              <w:spacing w:after="0"/>
            </w:pPr>
            <w:r/>
            <w:r>
              <w:rPr>
                <w:b w:val="0"/>
                <w:i w:val="0"/>
              </w:rPr>
              <w:t>Prepared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r>
        <w:tc>
          <w:tcPr>
            <w:tcW w:type="dxa" w:w="680"/>
          </w:tcPr>
          <w:p>
            <w:pPr>
              <w:spacing w:after="0"/>
              <w:jc w:val="center"/>
            </w:pPr>
            <w:r/>
            <w:r>
              <w:rPr>
                <w:b w:val="0"/>
                <w:i w:val="0"/>
              </w:rPr>
              <w:t>2</w:t>
            </w:r>
          </w:p>
        </w:tc>
        <w:tc>
          <w:tcPr>
            <w:tcW w:type="dxa" w:w="1587"/>
          </w:tcPr>
          <w:p>
            <w:pPr>
              <w:spacing w:after="0"/>
            </w:pPr>
            <w:r/>
            <w:r>
              <w:rPr>
                <w:b w:val="0"/>
                <w:i w:val="0"/>
              </w:rPr>
              <w:t>Reviewed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r>
        <w:tc>
          <w:tcPr>
            <w:tcW w:type="dxa" w:w="680"/>
          </w:tcPr>
          <w:p>
            <w:pPr>
              <w:spacing w:after="0"/>
              <w:jc w:val="center"/>
            </w:pPr>
            <w:r/>
            <w:r>
              <w:rPr>
                <w:b w:val="0"/>
                <w:i w:val="0"/>
              </w:rPr>
              <w:t>3</w:t>
            </w:r>
          </w:p>
        </w:tc>
        <w:tc>
          <w:tcPr>
            <w:tcW w:type="dxa" w:w="1587"/>
          </w:tcPr>
          <w:p>
            <w:pPr>
              <w:spacing w:after="0"/>
            </w:pPr>
            <w:r/>
            <w:r>
              <w:rPr>
                <w:b w:val="0"/>
                <w:i w:val="0"/>
              </w:rPr>
              <w:t>Approved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bl>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Inventech Info Solutions Pvt. Ltd. | IIS-POL-DP-01 | Internal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00000"/>
        <w:sz w:val="16"/>
      </w:rPr>
      <w:t>DRAFT – for management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