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22"/>
        </w:rPr>
        <w:t>Inventech Info Solutions Pvt. Ltd.</w:t>
      </w:r>
    </w:p>
    <w:p>
      <w:pPr>
        <w:jc w:val="center"/>
      </w:pPr>
      <w:r>
        <w:rPr>
          <w:b/>
          <w:color w:val="1F3864"/>
          <w:sz w:val="40"/>
        </w:rPr>
        <w:t>Data Transmission Policy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Details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title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Data Transmission Policy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IIS-POL-DT-01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0.1 (draft for management review)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Internal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owner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Information Security Officer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Approved by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[To be filled]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Date of approval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Next review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12 months from the effective date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Version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Date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Description of change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Prepared by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9 October 2026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First draft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[To be filled]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policy makes sure that data moving between users, systems and third parties is protected against interception and tampering.</w:t>
      </w:r>
    </w:p>
    <w:p>
      <w:pPr>
        <w:pStyle w:val="Heading1"/>
      </w:pPr>
      <w:r>
        <w:t>2. Scope</w:t>
      </w:r>
    </w:p>
    <w:p>
      <w:r>
        <w:t>It covers every transfer of Company or client data, including:</w:t>
      </w:r>
    </w:p>
    <w:p>
      <w:pPr>
        <w:pStyle w:val="ListBullet"/>
      </w:pPr>
      <w:r>
        <w:t>Browsers and mobile apps to application servers.</w:t>
      </w:r>
    </w:p>
    <w:p>
      <w:pPr>
        <w:pStyle w:val="ListBullet"/>
      </w:pPr>
      <w:r>
        <w:t>Application servers to databases, file or object storage and caches.</w:t>
      </w:r>
    </w:p>
    <w:p>
      <w:pPr>
        <w:pStyle w:val="ListBullet"/>
      </w:pPr>
      <w:r>
        <w:t>Integrations with third-party services such as SMS gateways, payment gateways, email and digital signature services.</w:t>
      </w:r>
    </w:p>
    <w:p>
      <w:pPr>
        <w:pStyle w:val="ListBullet"/>
      </w:pPr>
      <w:r>
        <w:t>Transfers between environments (deployments and backups).</w:t>
      </w:r>
    </w:p>
    <w:p>
      <w:pPr>
        <w:pStyle w:val="ListBullet"/>
      </w:pPr>
      <w:r>
        <w:t>File exchange with clients and vendors, email and messaging.</w:t>
      </w:r>
    </w:p>
    <w:p>
      <w:pPr>
        <w:pStyle w:val="Heading1"/>
      </w:pPr>
      <w:r>
        <w:t>3. Encryption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Channel</w:t>
            </w:r>
          </w:p>
        </w:tc>
        <w:tc>
          <w:tcPr>
            <w:tcW w:type="dxa" w:w="635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Minimum standard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Web applications, mobile apps and APIs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HTTPS with TLS 1.3. TLS 1.2 is allowed only with a written exception, where client or third-party infrastructure does not support TLS 1.3. SSL and TLS 1.0 / 1.1 are disabled. HTTP Strict Transport Security (HSTS) is enabled.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SSL / TLS certificates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Issued by a trusted certificate authority. RSA 2048-bit or ECDSA P-256 keys or stronger. SHA-256 signature. Validity of one year or less. Recorded in a certificate register and renewed at least 15 days before expiry.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Application to database, storage and cache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Encrypted (TLS) whenever traffic leaves the server. Otherwise limited to a private network.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Third-party integrations (SMS, payment, email, digital signature)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HTTPS only. Credentials and API keys are kept on the server in secret stores. Requests are signed or hashed where the provider supports it (for example HMAC-SHA256 or SHA-512), and responses are verified (for example the payment gateway hash check).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File transfer and backups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SFTP or HTTPS. Backup files are encrypted with AES-256 before they leave the server.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Email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TLS between mail servers. Restricted data is sent only as a password-protected (AES-256) attachment, with the password shared on a separate channel.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Removable media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Not used for Restricted data. If unavoidable, the data is AES-256 encrypted and the Information Security Officer approves it.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Data at rest (for reference)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AES-256, as set out in the Data Protection Policy.</w:t>
            </w:r>
          </w:p>
        </w:tc>
      </w:tr>
    </w:tbl>
    <w:p/>
    <w:p>
      <w:pPr>
        <w:pStyle w:val="Heading1"/>
      </w:pPr>
      <w:r>
        <w:t>4. Rules for development and operations</w:t>
      </w:r>
    </w:p>
    <w:p>
      <w:pPr>
        <w:pStyle w:val="ListBullet"/>
      </w:pPr>
      <w:r>
        <w:t>No personal data, passwords or tokens in URLs or query strings.</w:t>
      </w:r>
    </w:p>
    <w:p>
      <w:pPr>
        <w:pStyle w:val="ListBullet"/>
      </w:pPr>
      <w:r>
        <w:t>Session cookies are marked Secure, HttpOnly and SameSite.</w:t>
      </w:r>
    </w:p>
    <w:p>
      <w:pPr>
        <w:pStyle w:val="ListBullet"/>
      </w:pPr>
      <w:r>
        <w:t>SMS messages carry only the information needed (for example an OTP or a status update).</w:t>
      </w:r>
    </w:p>
    <w:p>
      <w:pPr>
        <w:pStyle w:val="ListBullet"/>
      </w:pPr>
      <w:r>
        <w:t>Cross-origin access (CORS) is limited to known domains.</w:t>
      </w:r>
    </w:p>
    <w:p>
      <w:pPr>
        <w:pStyle w:val="ListBullet"/>
      </w:pPr>
      <w:r>
        <w:t>Certificate checks are never switched off in code, and production mobile builds do not allow unencrypted traffic.</w:t>
      </w:r>
    </w:p>
    <w:p>
      <w:pPr>
        <w:pStyle w:val="ListBullet"/>
      </w:pPr>
      <w:r>
        <w:t>The TLS setup is tested before go-live and after every certificate renewal, and the test result is kept as evidence.</w:t>
      </w:r>
    </w:p>
    <w:p>
      <w:pPr>
        <w:pStyle w:val="Heading1"/>
      </w:pPr>
      <w:r>
        <w:t>5.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Role</w:t>
            </w:r>
          </w:p>
        </w:tc>
        <w:tc>
          <w:tcPr>
            <w:tcW w:type="dxa" w:w="6123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Responsibility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Information Security Officer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Owns this policy, approves exceptions and checks compliance.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DevOps / Infrastructure team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Configures TLS and certificates, keeps the certificate register and renews certificates on time.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Development team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Builds integrations as per this policy and keeps secrets out of code.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Project Manager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Makes sure client-hosted environments meet this policy, or records an exception.</w:t>
            </w:r>
          </w:p>
        </w:tc>
      </w:tr>
    </w:tbl>
    <w:p/>
    <w:p>
      <w:pPr>
        <w:pStyle w:val="Heading1"/>
      </w:pPr>
      <w:r>
        <w:t>6. Training and awareness</w:t>
      </w:r>
    </w:p>
    <w:p>
      <w:pPr>
        <w:pStyle w:val="ListBullet"/>
      </w:pPr>
      <w:r>
        <w:t>Data transmission rules are part of the yearly security awareness training for all staff.</w:t>
      </w:r>
    </w:p>
    <w:p>
      <w:pPr>
        <w:pStyle w:val="ListBullet"/>
      </w:pPr>
      <w:r>
        <w:t>Developers and the DevOps team attend a secure integration session once a year.</w:t>
      </w:r>
    </w:p>
    <w:p>
      <w:pPr>
        <w:pStyle w:val="ListBullet"/>
      </w:pPr>
      <w:r>
        <w:t>Training records are kept for at least three years.</w:t>
      </w:r>
    </w:p>
    <w:p>
      <w:pPr>
        <w:pStyle w:val="Heading1"/>
      </w:pPr>
      <w:r>
        <w:t>7. Compliance, exceptions and review</w:t>
      </w:r>
    </w:p>
    <w:p>
      <w:pPr>
        <w:pStyle w:val="ListBullet"/>
      </w:pPr>
      <w:r>
        <w:t>Breach of this policy may lead to disciplinary action, in line with the Company's HR policy.</w:t>
      </w:r>
    </w:p>
    <w:p>
      <w:pPr>
        <w:pStyle w:val="ListBullet"/>
      </w:pPr>
      <w:r>
        <w:t>Any exception must be approved in writing by the Information Security Officer, with a reason and an expiry date, and recorded in the exceptions register.</w:t>
      </w:r>
    </w:p>
    <w:p>
      <w:pPr>
        <w:pStyle w:val="ListBullet"/>
      </w:pPr>
      <w:r>
        <w:t>This policy is reviewed at least once a year, and also after a major security incident, a change in law or a major change in the Company's systems.</w:t>
      </w:r>
    </w:p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Role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Name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Designation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Signature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Date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Prepared by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Reviewed by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Approved by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Inventech Info Solutions Pvt. Ltd. | IIS-POL-DT-01 | Internal |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C00000"/>
        <w:sz w:val="16"/>
      </w:rPr>
      <w:t>DRAFT – for management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