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2"/>
        </w:rPr>
        <w:t>Inventech Info Solutions Pvt. Ltd.</w:t>
      </w:r>
    </w:p>
    <w:p>
      <w:pPr>
        <w:jc w:val="center"/>
      </w:pPr>
      <w:r>
        <w:rPr>
          <w:b/>
          <w:color w:val="1F3864"/>
          <w:sz w:val="40"/>
        </w:rPr>
        <w:t>Incident Response Plan</w:t>
      </w:r>
    </w:p>
    <w:p>
      <w:pPr>
        <w:pStyle w:val="Heading1"/>
      </w:pPr>
      <w:r>
        <w:t>Document control</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shd w:val="clear" w:color="auto" w:fill="1F3864"/>
          </w:tcPr>
          <w:p>
            <w:pPr>
              <w:spacing w:after="0"/>
            </w:pPr>
            <w:r/>
            <w:r>
              <w:rPr>
                <w:b/>
                <w:i w:val="0"/>
                <w:color w:val="FFFFFF"/>
              </w:rPr>
              <w:t>Item</w:t>
            </w:r>
          </w:p>
        </w:tc>
        <w:tc>
          <w:tcPr>
            <w:tcW w:type="dxa" w:w="6803"/>
            <w:shd w:val="clear" w:color="auto" w:fill="1F3864"/>
          </w:tcPr>
          <w:p>
            <w:pPr>
              <w:spacing w:after="0"/>
            </w:pPr>
            <w:r/>
            <w:r>
              <w:rPr>
                <w:b/>
                <w:i w:val="0"/>
                <w:color w:val="FFFFFF"/>
              </w:rPr>
              <w:t>Details</w:t>
            </w:r>
          </w:p>
        </w:tc>
      </w:tr>
      <w:tr>
        <w:tc>
          <w:tcPr>
            <w:tcW w:type="dxa" w:w="2835"/>
          </w:tcPr>
          <w:p>
            <w:pPr>
              <w:spacing w:after="0"/>
            </w:pPr>
            <w:r/>
            <w:r>
              <w:rPr>
                <w:b w:val="0"/>
                <w:i w:val="0"/>
              </w:rPr>
              <w:t>Document title</w:t>
            </w:r>
          </w:p>
        </w:tc>
        <w:tc>
          <w:tcPr>
            <w:tcW w:type="dxa" w:w="6803"/>
          </w:tcPr>
          <w:p>
            <w:pPr>
              <w:spacing w:after="0"/>
            </w:pPr>
            <w:r/>
            <w:r>
              <w:rPr>
                <w:b w:val="0"/>
                <w:i w:val="0"/>
              </w:rPr>
              <w:t>Incident Response Plan</w:t>
            </w:r>
          </w:p>
        </w:tc>
      </w:tr>
      <w:tr>
        <w:tc>
          <w:tcPr>
            <w:tcW w:type="dxa" w:w="2835"/>
          </w:tcPr>
          <w:p>
            <w:pPr>
              <w:spacing w:after="0"/>
            </w:pPr>
            <w:r/>
            <w:r>
              <w:rPr>
                <w:b w:val="0"/>
                <w:i w:val="0"/>
              </w:rPr>
              <w:t>Document ID</w:t>
            </w:r>
          </w:p>
        </w:tc>
        <w:tc>
          <w:tcPr>
            <w:tcW w:type="dxa" w:w="6803"/>
          </w:tcPr>
          <w:p>
            <w:pPr>
              <w:spacing w:after="0"/>
            </w:pPr>
            <w:r/>
            <w:r>
              <w:rPr>
                <w:b w:val="0"/>
                <w:i w:val="0"/>
              </w:rPr>
              <w:t>IIS-POL-IR-01</w:t>
            </w:r>
          </w:p>
        </w:tc>
      </w:tr>
      <w:tr>
        <w:tc>
          <w:tcPr>
            <w:tcW w:type="dxa" w:w="2835"/>
          </w:tcPr>
          <w:p>
            <w:pPr>
              <w:spacing w:after="0"/>
            </w:pPr>
            <w:r/>
            <w:r>
              <w:rPr>
                <w:b w:val="0"/>
                <w:i w:val="0"/>
              </w:rPr>
              <w:t>Version</w:t>
            </w:r>
          </w:p>
        </w:tc>
        <w:tc>
          <w:tcPr>
            <w:tcW w:type="dxa" w:w="6803"/>
          </w:tcPr>
          <w:p>
            <w:pPr>
              <w:spacing w:after="0"/>
            </w:pPr>
            <w:r/>
            <w:r>
              <w:rPr>
                <w:b w:val="0"/>
                <w:i w:val="0"/>
              </w:rPr>
              <w:t>0.1 (draft for management review)</w:t>
            </w:r>
          </w:p>
        </w:tc>
      </w:tr>
      <w:tr>
        <w:tc>
          <w:tcPr>
            <w:tcW w:type="dxa" w:w="2835"/>
          </w:tcPr>
          <w:p>
            <w:pPr>
              <w:spacing w:after="0"/>
            </w:pPr>
            <w:r/>
            <w:r>
              <w:rPr>
                <w:b w:val="0"/>
                <w:i w:val="0"/>
              </w:rPr>
              <w:t>Classification</w:t>
            </w:r>
          </w:p>
        </w:tc>
        <w:tc>
          <w:tcPr>
            <w:tcW w:type="dxa" w:w="6803"/>
          </w:tcPr>
          <w:p>
            <w:pPr>
              <w:spacing w:after="0"/>
            </w:pPr>
            <w:r/>
            <w:r>
              <w:rPr>
                <w:b w:val="0"/>
                <w:i w:val="0"/>
              </w:rPr>
              <w:t>Internal</w:t>
            </w:r>
          </w:p>
        </w:tc>
      </w:tr>
      <w:tr>
        <w:tc>
          <w:tcPr>
            <w:tcW w:type="dxa" w:w="2835"/>
          </w:tcPr>
          <w:p>
            <w:pPr>
              <w:spacing w:after="0"/>
            </w:pPr>
            <w:r/>
            <w:r>
              <w:rPr>
                <w:b w:val="0"/>
                <w:i w:val="0"/>
              </w:rPr>
              <w:t>Document owner</w:t>
            </w:r>
          </w:p>
        </w:tc>
        <w:tc>
          <w:tcPr>
            <w:tcW w:type="dxa" w:w="6803"/>
          </w:tcPr>
          <w:p>
            <w:pPr>
              <w:spacing w:after="0"/>
            </w:pPr>
            <w:r/>
            <w:r>
              <w:rPr>
                <w:b w:val="0"/>
                <w:i w:val="0"/>
              </w:rPr>
              <w:t>Information Security Officer</w:t>
            </w:r>
          </w:p>
        </w:tc>
      </w:tr>
      <w:tr>
        <w:tc>
          <w:tcPr>
            <w:tcW w:type="dxa" w:w="2835"/>
          </w:tcPr>
          <w:p>
            <w:pPr>
              <w:spacing w:after="0"/>
            </w:pPr>
            <w:r/>
            <w:r>
              <w:rPr>
                <w:b w:val="0"/>
                <w:i w:val="0"/>
              </w:rPr>
              <w:t>Approved by</w:t>
            </w:r>
          </w:p>
        </w:tc>
        <w:tc>
          <w:tcPr>
            <w:tcW w:type="dxa" w:w="6803"/>
          </w:tcPr>
          <w:p>
            <w:pPr>
              <w:spacing w:after="0"/>
            </w:pPr>
            <w:r/>
            <w:r>
              <w:rPr>
                <w:b w:val="0"/>
                <w:i w:val="0"/>
              </w:rPr>
              <w:t>[To be filled]</w:t>
            </w:r>
          </w:p>
        </w:tc>
      </w:tr>
      <w:tr>
        <w:tc>
          <w:tcPr>
            <w:tcW w:type="dxa" w:w="2835"/>
          </w:tcPr>
          <w:p>
            <w:pPr>
              <w:spacing w:after="0"/>
            </w:pPr>
            <w:r/>
            <w:r>
              <w:rPr>
                <w:b w:val="0"/>
                <w:i w:val="0"/>
              </w:rPr>
              <w:t>Effective date</w:t>
            </w:r>
          </w:p>
        </w:tc>
        <w:tc>
          <w:tcPr>
            <w:tcW w:type="dxa" w:w="6803"/>
          </w:tcPr>
          <w:p>
            <w:pPr>
              <w:spacing w:after="0"/>
            </w:pPr>
            <w:r/>
            <w:r>
              <w:rPr>
                <w:b w:val="0"/>
                <w:i w:val="0"/>
              </w:rPr>
              <w:t>Date of approval</w:t>
            </w:r>
          </w:p>
        </w:tc>
      </w:tr>
      <w:tr>
        <w:tc>
          <w:tcPr>
            <w:tcW w:type="dxa" w:w="2835"/>
          </w:tcPr>
          <w:p>
            <w:pPr>
              <w:spacing w:after="0"/>
            </w:pPr>
            <w:r/>
            <w:r>
              <w:rPr>
                <w:b w:val="0"/>
                <w:i w:val="0"/>
              </w:rPr>
              <w:t>Next review</w:t>
            </w:r>
          </w:p>
        </w:tc>
        <w:tc>
          <w:tcPr>
            <w:tcW w:type="dxa" w:w="6803"/>
          </w:tcPr>
          <w:p>
            <w:pPr>
              <w:spacing w:after="0"/>
            </w:pPr>
            <w:r/>
            <w:r>
              <w:rPr>
                <w:b w:val="0"/>
                <w:i w:val="0"/>
              </w:rPr>
              <w:t>12 months from the effective date</w:t>
            </w:r>
          </w:p>
        </w:tc>
      </w:tr>
    </w:tbl>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680"/>
            <w:shd w:val="clear" w:color="auto" w:fill="1F3864"/>
          </w:tcPr>
          <w:p>
            <w:pPr>
              <w:spacing w:after="0"/>
            </w:pPr>
            <w:r/>
            <w:r>
              <w:rPr>
                <w:b/>
                <w:i w:val="0"/>
                <w:color w:val="FFFFFF"/>
              </w:rPr>
              <w:t>Sl. No.</w:t>
            </w:r>
          </w:p>
        </w:tc>
        <w:tc>
          <w:tcPr>
            <w:tcW w:type="dxa" w:w="1020"/>
            <w:shd w:val="clear" w:color="auto" w:fill="1F3864"/>
          </w:tcPr>
          <w:p>
            <w:pPr>
              <w:spacing w:after="0"/>
            </w:pPr>
            <w:r/>
            <w:r>
              <w:rPr>
                <w:b/>
                <w:i w:val="0"/>
                <w:color w:val="FFFFFF"/>
              </w:rPr>
              <w:t>Version</w:t>
            </w:r>
          </w:p>
        </w:tc>
        <w:tc>
          <w:tcPr>
            <w:tcW w:type="dxa" w:w="1814"/>
            <w:shd w:val="clear" w:color="auto" w:fill="1F3864"/>
          </w:tcPr>
          <w:p>
            <w:pPr>
              <w:spacing w:after="0"/>
            </w:pPr>
            <w:r/>
            <w:r>
              <w:rPr>
                <w:b/>
                <w:i w:val="0"/>
                <w:color w:val="FFFFFF"/>
              </w:rPr>
              <w:t>Date</w:t>
            </w:r>
          </w:p>
        </w:tc>
        <w:tc>
          <w:tcPr>
            <w:tcW w:type="dxa" w:w="3855"/>
            <w:shd w:val="clear" w:color="auto" w:fill="1F3864"/>
          </w:tcPr>
          <w:p>
            <w:pPr>
              <w:spacing w:after="0"/>
            </w:pPr>
            <w:r/>
            <w:r>
              <w:rPr>
                <w:b/>
                <w:i w:val="0"/>
                <w:color w:val="FFFFFF"/>
              </w:rPr>
              <w:t>Description of change</w:t>
            </w:r>
          </w:p>
        </w:tc>
        <w:tc>
          <w:tcPr>
            <w:tcW w:type="dxa" w:w="2268"/>
            <w:shd w:val="clear" w:color="auto" w:fill="1F3864"/>
          </w:tcPr>
          <w:p>
            <w:pPr>
              <w:spacing w:after="0"/>
            </w:pPr>
            <w:r/>
            <w:r>
              <w:rPr>
                <w:b/>
                <w:i w:val="0"/>
                <w:color w:val="FFFFFF"/>
              </w:rPr>
              <w:t>Prepared by</w:t>
            </w:r>
          </w:p>
        </w:tc>
      </w:tr>
      <w:tr>
        <w:tc>
          <w:tcPr>
            <w:tcW w:type="dxa" w:w="680"/>
          </w:tcPr>
          <w:p>
            <w:pPr>
              <w:spacing w:after="0"/>
              <w:jc w:val="center"/>
            </w:pPr>
            <w:r/>
            <w:r>
              <w:rPr>
                <w:b w:val="0"/>
                <w:i w:val="0"/>
              </w:rPr>
              <w:t>1</w:t>
            </w:r>
          </w:p>
        </w:tc>
        <w:tc>
          <w:tcPr>
            <w:tcW w:type="dxa" w:w="1020"/>
          </w:tcPr>
          <w:p>
            <w:pPr>
              <w:spacing w:after="0"/>
            </w:pPr>
            <w:r/>
            <w:r>
              <w:rPr>
                <w:b w:val="0"/>
                <w:i w:val="0"/>
              </w:rPr>
              <w:t>0.1</w:t>
            </w:r>
          </w:p>
        </w:tc>
        <w:tc>
          <w:tcPr>
            <w:tcW w:type="dxa" w:w="1814"/>
          </w:tcPr>
          <w:p>
            <w:pPr>
              <w:spacing w:after="0"/>
            </w:pPr>
            <w:r/>
            <w:r>
              <w:rPr>
                <w:b w:val="0"/>
                <w:i w:val="0"/>
              </w:rPr>
              <w:t>9 October 2026</w:t>
            </w:r>
          </w:p>
        </w:tc>
        <w:tc>
          <w:tcPr>
            <w:tcW w:type="dxa" w:w="3855"/>
          </w:tcPr>
          <w:p>
            <w:pPr>
              <w:spacing w:after="0"/>
            </w:pPr>
            <w:r/>
            <w:r>
              <w:rPr>
                <w:b w:val="0"/>
                <w:i w:val="0"/>
              </w:rPr>
              <w:t>First draft</w:t>
            </w:r>
          </w:p>
        </w:tc>
        <w:tc>
          <w:tcPr>
            <w:tcW w:type="dxa" w:w="2268"/>
          </w:tcPr>
          <w:p>
            <w:pPr>
              <w:spacing w:after="0"/>
            </w:pPr>
            <w:r/>
            <w:r>
              <w:rPr>
                <w:b w:val="0"/>
                <w:i w:val="0"/>
              </w:rPr>
              <w:t>[To be filled]</w:t>
            </w:r>
          </w:p>
        </w:tc>
      </w:tr>
    </w:tbl>
    <w:p/>
    <w:p>
      <w:pPr>
        <w:pStyle w:val="Heading1"/>
      </w:pPr>
      <w:r>
        <w:t>1. Purpose</w:t>
      </w:r>
    </w:p>
    <w:p>
      <w:r>
        <w:t>This plan explains how the Company detects, responds to and recovers from information security incidents. The aim is to limit damage, restore services quickly and meet our reporting duties to clients and regulators.</w:t>
      </w:r>
    </w:p>
    <w:p>
      <w:pPr>
        <w:pStyle w:val="Heading1"/>
      </w:pPr>
      <w:r>
        <w:t>2. Scope</w:t>
      </w:r>
    </w:p>
    <w:p>
      <w:r>
        <w:t>The plan covers incidents that affect the Company's own systems, the applications the Company builds or supports for clients (including those hosted at the Karnataka State Data Centre or on client premises), and any data the Company processes.</w:t>
      </w:r>
    </w:p>
    <w:p>
      <w:pPr>
        <w:pStyle w:val="Heading1"/>
      </w:pPr>
      <w:r>
        <w:t>3. Definitions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680"/>
            <w:shd w:val="clear" w:color="auto" w:fill="1F3864"/>
          </w:tcPr>
          <w:p>
            <w:pPr>
              <w:spacing w:after="0"/>
            </w:pPr>
            <w:r/>
            <w:r>
              <w:rPr>
                <w:b/>
                <w:i w:val="0"/>
                <w:color w:val="FFFFFF"/>
              </w:rPr>
              <w:t>Sl. No.</w:t>
            </w:r>
          </w:p>
        </w:tc>
        <w:tc>
          <w:tcPr>
            <w:tcW w:type="dxa" w:w="2268"/>
            <w:shd w:val="clear" w:color="auto" w:fill="1F3864"/>
          </w:tcPr>
          <w:p>
            <w:pPr>
              <w:spacing w:after="0"/>
            </w:pPr>
            <w:r/>
            <w:r>
              <w:rPr>
                <w:b/>
                <w:i w:val="0"/>
                <w:color w:val="FFFFFF"/>
              </w:rPr>
              <w:t>Term</w:t>
            </w:r>
          </w:p>
        </w:tc>
        <w:tc>
          <w:tcPr>
            <w:tcW w:type="dxa" w:w="6690"/>
            <w:shd w:val="clear" w:color="auto" w:fill="1F3864"/>
          </w:tcPr>
          <w:p>
            <w:pPr>
              <w:spacing w:after="0"/>
            </w:pPr>
            <w:r/>
            <w:r>
              <w:rPr>
                <w:b/>
                <w:i w:val="0"/>
                <w:color w:val="FFFFFF"/>
              </w:rPr>
              <w:t>Meaning</w:t>
            </w:r>
          </w:p>
        </w:tc>
      </w:tr>
      <w:tr>
        <w:tc>
          <w:tcPr>
            <w:tcW w:type="dxa" w:w="680"/>
          </w:tcPr>
          <w:p>
            <w:pPr>
              <w:spacing w:after="0"/>
              <w:jc w:val="center"/>
            </w:pPr>
            <w:r/>
            <w:r>
              <w:rPr>
                <w:b w:val="0"/>
                <w:i w:val="0"/>
              </w:rPr>
              <w:t>1</w:t>
            </w:r>
          </w:p>
        </w:tc>
        <w:tc>
          <w:tcPr>
            <w:tcW w:type="dxa" w:w="2268"/>
          </w:tcPr>
          <w:p>
            <w:pPr>
              <w:spacing w:after="0"/>
            </w:pPr>
            <w:r/>
            <w:r>
              <w:rPr>
                <w:b w:val="0"/>
                <w:i w:val="0"/>
              </w:rPr>
              <w:t>Security event</w:t>
            </w:r>
          </w:p>
        </w:tc>
        <w:tc>
          <w:tcPr>
            <w:tcW w:type="dxa" w:w="6690"/>
          </w:tcPr>
          <w:p>
            <w:pPr>
              <w:spacing w:after="0"/>
            </w:pPr>
            <w:r/>
            <w:r>
              <w:rPr>
                <w:b w:val="0"/>
                <w:i w:val="0"/>
              </w:rPr>
              <w:t>Something observed in a system or network that may point to a security problem, for example repeated failed logins.</w:t>
            </w:r>
          </w:p>
        </w:tc>
      </w:tr>
      <w:tr>
        <w:tc>
          <w:tcPr>
            <w:tcW w:type="dxa" w:w="680"/>
          </w:tcPr>
          <w:p>
            <w:pPr>
              <w:spacing w:after="0"/>
              <w:jc w:val="center"/>
            </w:pPr>
            <w:r/>
            <w:r>
              <w:rPr>
                <w:b w:val="0"/>
                <w:i w:val="0"/>
              </w:rPr>
              <w:t>2</w:t>
            </w:r>
          </w:p>
        </w:tc>
        <w:tc>
          <w:tcPr>
            <w:tcW w:type="dxa" w:w="2268"/>
          </w:tcPr>
          <w:p>
            <w:pPr>
              <w:spacing w:after="0"/>
            </w:pPr>
            <w:r/>
            <w:r>
              <w:rPr>
                <w:b w:val="0"/>
                <w:i w:val="0"/>
              </w:rPr>
              <w:t>Security incident</w:t>
            </w:r>
          </w:p>
        </w:tc>
        <w:tc>
          <w:tcPr>
            <w:tcW w:type="dxa" w:w="6690"/>
          </w:tcPr>
          <w:p>
            <w:pPr>
              <w:spacing w:after="0"/>
            </w:pPr>
            <w:r/>
            <w:r>
              <w:rPr>
                <w:b w:val="0"/>
                <w:i w:val="0"/>
              </w:rPr>
              <w:t>An event that harms, or is likely to harm, the confidentiality, integrity or availability of data or systems.</w:t>
            </w:r>
          </w:p>
        </w:tc>
      </w:tr>
      <w:tr>
        <w:tc>
          <w:tcPr>
            <w:tcW w:type="dxa" w:w="680"/>
          </w:tcPr>
          <w:p>
            <w:pPr>
              <w:spacing w:after="0"/>
              <w:jc w:val="center"/>
            </w:pPr>
            <w:r/>
            <w:r>
              <w:rPr>
                <w:b w:val="0"/>
                <w:i w:val="0"/>
              </w:rPr>
              <w:t>3</w:t>
            </w:r>
          </w:p>
        </w:tc>
        <w:tc>
          <w:tcPr>
            <w:tcW w:type="dxa" w:w="2268"/>
          </w:tcPr>
          <w:p>
            <w:pPr>
              <w:spacing w:after="0"/>
            </w:pPr>
            <w:r/>
            <w:r>
              <w:rPr>
                <w:b w:val="0"/>
                <w:i w:val="0"/>
              </w:rPr>
              <w:t>Personal data breach</w:t>
            </w:r>
          </w:p>
        </w:tc>
        <w:tc>
          <w:tcPr>
            <w:tcW w:type="dxa" w:w="6690"/>
          </w:tcPr>
          <w:p>
            <w:pPr>
              <w:spacing w:after="0"/>
            </w:pPr>
            <w:r/>
            <w:r>
              <w:rPr>
                <w:b w:val="0"/>
                <w:i w:val="0"/>
              </w:rPr>
              <w:t>Any unauthorised processing, loss, disclosure or change of personal data, as defined in the Digital Personal Data Protection Act, 2023.</w:t>
            </w:r>
          </w:p>
        </w:tc>
      </w:tr>
    </w:tbl>
    <w:p/>
    <w:p>
      <w:pPr>
        <w:pStyle w:val="Heading1"/>
      </w:pPr>
      <w:r>
        <w:t>4. Incident response team</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680"/>
            <w:shd w:val="clear" w:color="auto" w:fill="1F3864"/>
          </w:tcPr>
          <w:p>
            <w:pPr>
              <w:spacing w:after="0"/>
            </w:pPr>
            <w:r/>
            <w:r>
              <w:rPr>
                <w:b/>
                <w:i w:val="0"/>
                <w:color w:val="FFFFFF"/>
              </w:rPr>
              <w:t>Sl. No.</w:t>
            </w:r>
          </w:p>
        </w:tc>
        <w:tc>
          <w:tcPr>
            <w:tcW w:type="dxa" w:w="2381"/>
            <w:shd w:val="clear" w:color="auto" w:fill="1F3864"/>
          </w:tcPr>
          <w:p>
            <w:pPr>
              <w:spacing w:after="0"/>
            </w:pPr>
            <w:r/>
            <w:r>
              <w:rPr>
                <w:b/>
                <w:i w:val="0"/>
                <w:color w:val="FFFFFF"/>
              </w:rPr>
              <w:t>Role</w:t>
            </w:r>
          </w:p>
        </w:tc>
        <w:tc>
          <w:tcPr>
            <w:tcW w:type="dxa" w:w="4535"/>
            <w:shd w:val="clear" w:color="auto" w:fill="1F3864"/>
          </w:tcPr>
          <w:p>
            <w:pPr>
              <w:spacing w:after="0"/>
            </w:pPr>
            <w:r/>
            <w:r>
              <w:rPr>
                <w:b/>
                <w:i w:val="0"/>
                <w:color w:val="FFFFFF"/>
              </w:rPr>
              <w:t>Responsibilities</w:t>
            </w:r>
          </w:p>
        </w:tc>
        <w:tc>
          <w:tcPr>
            <w:tcW w:type="dxa" w:w="2041"/>
            <w:shd w:val="clear" w:color="auto" w:fill="1F3864"/>
          </w:tcPr>
          <w:p>
            <w:pPr>
              <w:spacing w:after="0"/>
            </w:pPr>
            <w:r/>
            <w:r>
              <w:rPr>
                <w:b/>
                <w:i w:val="0"/>
                <w:color w:val="FFFFFF"/>
              </w:rPr>
              <w:t>Name and contact</w:t>
            </w:r>
          </w:p>
        </w:tc>
      </w:tr>
      <w:tr>
        <w:tc>
          <w:tcPr>
            <w:tcW w:type="dxa" w:w="680"/>
          </w:tcPr>
          <w:p>
            <w:pPr>
              <w:spacing w:after="0"/>
              <w:jc w:val="center"/>
            </w:pPr>
            <w:r/>
            <w:r>
              <w:rPr>
                <w:b w:val="0"/>
                <w:i w:val="0"/>
              </w:rPr>
              <w:t>1</w:t>
            </w:r>
          </w:p>
        </w:tc>
        <w:tc>
          <w:tcPr>
            <w:tcW w:type="dxa" w:w="2381"/>
          </w:tcPr>
          <w:p>
            <w:pPr>
              <w:spacing w:after="0"/>
            </w:pPr>
            <w:r/>
            <w:r>
              <w:rPr>
                <w:b w:val="0"/>
                <w:i w:val="0"/>
              </w:rPr>
              <w:t>Incident Manager (Information Security Officer)</w:t>
            </w:r>
          </w:p>
        </w:tc>
        <w:tc>
          <w:tcPr>
            <w:tcW w:type="dxa" w:w="4535"/>
          </w:tcPr>
          <w:p>
            <w:pPr>
              <w:spacing w:after="0"/>
            </w:pPr>
            <w:r/>
            <w:r>
              <w:rPr>
                <w:b w:val="0"/>
                <w:i w:val="0"/>
              </w:rPr>
              <w:t>Owns each incident from start to finish. Decides severity, leads the team, and reports to management, clients and CERT-In.</w:t>
            </w:r>
          </w:p>
        </w:tc>
        <w:tc>
          <w:tcPr>
            <w:tcW w:type="dxa" w:w="2041"/>
          </w:tcPr>
          <w:p>
            <w:pPr>
              <w:spacing w:after="0"/>
            </w:pPr>
            <w:r/>
            <w:r>
              <w:rPr>
                <w:b w:val="0"/>
                <w:i w:val="0"/>
              </w:rPr>
              <w:t>[To be filled]</w:t>
            </w:r>
          </w:p>
        </w:tc>
      </w:tr>
      <w:tr>
        <w:tc>
          <w:tcPr>
            <w:tcW w:type="dxa" w:w="680"/>
          </w:tcPr>
          <w:p>
            <w:pPr>
              <w:spacing w:after="0"/>
              <w:jc w:val="center"/>
            </w:pPr>
            <w:r/>
            <w:r>
              <w:rPr>
                <w:b w:val="0"/>
                <w:i w:val="0"/>
              </w:rPr>
              <w:t>2</w:t>
            </w:r>
          </w:p>
        </w:tc>
        <w:tc>
          <w:tcPr>
            <w:tcW w:type="dxa" w:w="2381"/>
          </w:tcPr>
          <w:p>
            <w:pPr>
              <w:spacing w:after="0"/>
            </w:pPr>
            <w:r/>
            <w:r>
              <w:rPr>
                <w:b w:val="0"/>
                <w:i w:val="0"/>
              </w:rPr>
              <w:t>Technical Lead</w:t>
            </w:r>
          </w:p>
        </w:tc>
        <w:tc>
          <w:tcPr>
            <w:tcW w:type="dxa" w:w="4535"/>
          </w:tcPr>
          <w:p>
            <w:pPr>
              <w:spacing w:after="0"/>
            </w:pPr>
            <w:r/>
            <w:r>
              <w:rPr>
                <w:b w:val="0"/>
                <w:i w:val="0"/>
              </w:rPr>
              <w:t>Investigates the cause in the application. Prepares and deploys the fix.</w:t>
            </w:r>
          </w:p>
        </w:tc>
        <w:tc>
          <w:tcPr>
            <w:tcW w:type="dxa" w:w="2041"/>
          </w:tcPr>
          <w:p>
            <w:pPr>
              <w:spacing w:after="0"/>
            </w:pPr>
            <w:r/>
            <w:r>
              <w:rPr>
                <w:b w:val="0"/>
                <w:i w:val="0"/>
              </w:rPr>
              <w:t>[To be filled]</w:t>
            </w:r>
          </w:p>
        </w:tc>
      </w:tr>
      <w:tr>
        <w:tc>
          <w:tcPr>
            <w:tcW w:type="dxa" w:w="680"/>
          </w:tcPr>
          <w:p>
            <w:pPr>
              <w:spacing w:after="0"/>
              <w:jc w:val="center"/>
            </w:pPr>
            <w:r/>
            <w:r>
              <w:rPr>
                <w:b w:val="0"/>
                <w:i w:val="0"/>
              </w:rPr>
              <w:t>3</w:t>
            </w:r>
          </w:p>
        </w:tc>
        <w:tc>
          <w:tcPr>
            <w:tcW w:type="dxa" w:w="2381"/>
          </w:tcPr>
          <w:p>
            <w:pPr>
              <w:spacing w:after="0"/>
            </w:pPr>
            <w:r/>
            <w:r>
              <w:rPr>
                <w:b w:val="0"/>
                <w:i w:val="0"/>
              </w:rPr>
              <w:t>DevOps / Infrastructure Lead</w:t>
            </w:r>
          </w:p>
        </w:tc>
        <w:tc>
          <w:tcPr>
            <w:tcW w:type="dxa" w:w="4535"/>
          </w:tcPr>
          <w:p>
            <w:pPr>
              <w:spacing w:after="0"/>
            </w:pPr>
            <w:r/>
            <w:r>
              <w:rPr>
                <w:b w:val="0"/>
                <w:i w:val="0"/>
              </w:rPr>
              <w:t>Contains the incident at server and network level: isolates servers, blocks IP addresses, changes credentials, restores from backup. Preserves logs.</w:t>
            </w:r>
          </w:p>
        </w:tc>
        <w:tc>
          <w:tcPr>
            <w:tcW w:type="dxa" w:w="2041"/>
          </w:tcPr>
          <w:p>
            <w:pPr>
              <w:spacing w:after="0"/>
            </w:pPr>
            <w:r/>
            <w:r>
              <w:rPr>
                <w:b w:val="0"/>
                <w:i w:val="0"/>
              </w:rPr>
              <w:t>[To be filled]</w:t>
            </w:r>
          </w:p>
        </w:tc>
      </w:tr>
      <w:tr>
        <w:tc>
          <w:tcPr>
            <w:tcW w:type="dxa" w:w="680"/>
          </w:tcPr>
          <w:p>
            <w:pPr>
              <w:spacing w:after="0"/>
              <w:jc w:val="center"/>
            </w:pPr>
            <w:r/>
            <w:r>
              <w:rPr>
                <w:b w:val="0"/>
                <w:i w:val="0"/>
              </w:rPr>
              <w:t>4</w:t>
            </w:r>
          </w:p>
        </w:tc>
        <w:tc>
          <w:tcPr>
            <w:tcW w:type="dxa" w:w="2381"/>
          </w:tcPr>
          <w:p>
            <w:pPr>
              <w:spacing w:after="0"/>
            </w:pPr>
            <w:r/>
            <w:r>
              <w:rPr>
                <w:b w:val="0"/>
                <w:i w:val="0"/>
              </w:rPr>
              <w:t>Project Manager</w:t>
            </w:r>
          </w:p>
        </w:tc>
        <w:tc>
          <w:tcPr>
            <w:tcW w:type="dxa" w:w="4535"/>
          </w:tcPr>
          <w:p>
            <w:pPr>
              <w:spacing w:after="0"/>
            </w:pPr>
            <w:r/>
            <w:r>
              <w:rPr>
                <w:b w:val="0"/>
                <w:i w:val="0"/>
              </w:rPr>
              <w:t>Single point of contact with the client. Shares updates on the agreed timeline.</w:t>
            </w:r>
          </w:p>
        </w:tc>
        <w:tc>
          <w:tcPr>
            <w:tcW w:type="dxa" w:w="2041"/>
          </w:tcPr>
          <w:p>
            <w:pPr>
              <w:spacing w:after="0"/>
            </w:pPr>
            <w:r/>
            <w:r>
              <w:rPr>
                <w:b w:val="0"/>
                <w:i w:val="0"/>
              </w:rPr>
              <w:t>[To be filled]</w:t>
            </w:r>
          </w:p>
        </w:tc>
      </w:tr>
      <w:tr>
        <w:tc>
          <w:tcPr>
            <w:tcW w:type="dxa" w:w="680"/>
          </w:tcPr>
          <w:p>
            <w:pPr>
              <w:spacing w:after="0"/>
              <w:jc w:val="center"/>
            </w:pPr>
            <w:r/>
            <w:r>
              <w:rPr>
                <w:b w:val="0"/>
                <w:i w:val="0"/>
              </w:rPr>
              <w:t>5</w:t>
            </w:r>
          </w:p>
        </w:tc>
        <w:tc>
          <w:tcPr>
            <w:tcW w:type="dxa" w:w="2381"/>
          </w:tcPr>
          <w:p>
            <w:pPr>
              <w:spacing w:after="0"/>
            </w:pPr>
            <w:r/>
            <w:r>
              <w:rPr>
                <w:b w:val="0"/>
                <w:i w:val="0"/>
              </w:rPr>
              <w:t>Management representative</w:t>
            </w:r>
          </w:p>
        </w:tc>
        <w:tc>
          <w:tcPr>
            <w:tcW w:type="dxa" w:w="4535"/>
          </w:tcPr>
          <w:p>
            <w:pPr>
              <w:spacing w:after="0"/>
            </w:pPr>
            <w:r/>
            <w:r>
              <w:rPr>
                <w:b w:val="0"/>
                <w:i w:val="0"/>
              </w:rPr>
              <w:t>Approves external communication and decisions with business or legal impact.</w:t>
            </w:r>
          </w:p>
        </w:tc>
        <w:tc>
          <w:tcPr>
            <w:tcW w:type="dxa" w:w="2041"/>
          </w:tcPr>
          <w:p>
            <w:pPr>
              <w:spacing w:after="0"/>
            </w:pPr>
            <w:r/>
            <w:r>
              <w:rPr>
                <w:b w:val="0"/>
                <w:i w:val="0"/>
              </w:rPr>
              <w:t>[To be filled]</w:t>
            </w:r>
          </w:p>
        </w:tc>
      </w:tr>
      <w:tr>
        <w:tc>
          <w:tcPr>
            <w:tcW w:type="dxa" w:w="680"/>
          </w:tcPr>
          <w:p>
            <w:pPr>
              <w:spacing w:after="0"/>
              <w:jc w:val="center"/>
            </w:pPr>
            <w:r/>
            <w:r>
              <w:rPr>
                <w:b w:val="0"/>
                <w:i w:val="0"/>
              </w:rPr>
              <w:t>6</w:t>
            </w:r>
          </w:p>
        </w:tc>
        <w:tc>
          <w:tcPr>
            <w:tcW w:type="dxa" w:w="2381"/>
          </w:tcPr>
          <w:p>
            <w:pPr>
              <w:spacing w:after="0"/>
            </w:pPr>
            <w:r/>
            <w:r>
              <w:rPr>
                <w:b w:val="0"/>
                <w:i w:val="0"/>
              </w:rPr>
              <w:t>Legal / compliance advisor</w:t>
            </w:r>
          </w:p>
        </w:tc>
        <w:tc>
          <w:tcPr>
            <w:tcW w:type="dxa" w:w="4535"/>
          </w:tcPr>
          <w:p>
            <w:pPr>
              <w:spacing w:after="0"/>
            </w:pPr>
            <w:r/>
            <w:r>
              <w:rPr>
                <w:b w:val="0"/>
                <w:i w:val="0"/>
              </w:rPr>
              <w:t>Advises on duties under the DPDP Act, the IT Act and client contracts.</w:t>
            </w:r>
          </w:p>
        </w:tc>
        <w:tc>
          <w:tcPr>
            <w:tcW w:type="dxa" w:w="2041"/>
          </w:tcPr>
          <w:p>
            <w:pPr>
              <w:spacing w:after="0"/>
            </w:pPr>
            <w:r/>
            <w:r>
              <w:rPr>
                <w:b w:val="0"/>
                <w:i w:val="0"/>
              </w:rPr>
              <w:t>[To be filled]</w:t>
            </w:r>
          </w:p>
        </w:tc>
      </w:tr>
    </w:tbl>
    <w:p/>
    <w:p>
      <w:pPr>
        <w:pStyle w:val="Heading1"/>
      </w:pPr>
      <w:r>
        <w:t>5. Incident classification and severity</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680"/>
            <w:shd w:val="clear" w:color="auto" w:fill="1F3864"/>
          </w:tcPr>
          <w:p>
            <w:pPr>
              <w:spacing w:after="0"/>
            </w:pPr>
            <w:r/>
            <w:r>
              <w:rPr>
                <w:b/>
                <w:i w:val="0"/>
                <w:color w:val="FFFFFF"/>
              </w:rPr>
              <w:t>Sl. No.</w:t>
            </w:r>
          </w:p>
        </w:tc>
        <w:tc>
          <w:tcPr>
            <w:tcW w:type="dxa" w:w="1134"/>
            <w:shd w:val="clear" w:color="auto" w:fill="1F3864"/>
          </w:tcPr>
          <w:p>
            <w:pPr>
              <w:spacing w:after="0"/>
            </w:pPr>
            <w:r/>
            <w:r>
              <w:rPr>
                <w:b/>
                <w:i w:val="0"/>
                <w:color w:val="FFFFFF"/>
              </w:rPr>
              <w:t>Severity</w:t>
            </w:r>
          </w:p>
        </w:tc>
        <w:tc>
          <w:tcPr>
            <w:tcW w:type="dxa" w:w="2381"/>
            <w:shd w:val="clear" w:color="auto" w:fill="1F3864"/>
          </w:tcPr>
          <w:p>
            <w:pPr>
              <w:spacing w:after="0"/>
            </w:pPr>
            <w:r/>
            <w:r>
              <w:rPr>
                <w:b/>
                <w:i w:val="0"/>
                <w:color w:val="FFFFFF"/>
              </w:rPr>
              <w:t>Description</w:t>
            </w:r>
          </w:p>
        </w:tc>
        <w:tc>
          <w:tcPr>
            <w:tcW w:type="dxa" w:w="2948"/>
            <w:shd w:val="clear" w:color="auto" w:fill="1F3864"/>
          </w:tcPr>
          <w:p>
            <w:pPr>
              <w:spacing w:after="0"/>
            </w:pPr>
            <w:r/>
            <w:r>
              <w:rPr>
                <w:b/>
                <w:i w:val="0"/>
                <w:color w:val="FFFFFF"/>
              </w:rPr>
              <w:t>Examples</w:t>
            </w:r>
          </w:p>
        </w:tc>
        <w:tc>
          <w:tcPr>
            <w:tcW w:type="dxa" w:w="1247"/>
            <w:shd w:val="clear" w:color="auto" w:fill="1F3864"/>
          </w:tcPr>
          <w:p>
            <w:pPr>
              <w:spacing w:after="0"/>
            </w:pPr>
            <w:r/>
            <w:r>
              <w:rPr>
                <w:b/>
                <w:i w:val="0"/>
                <w:color w:val="FFFFFF"/>
              </w:rPr>
              <w:t>Acknowledge within</w:t>
            </w:r>
          </w:p>
        </w:tc>
        <w:tc>
          <w:tcPr>
            <w:tcW w:type="dxa" w:w="1247"/>
            <w:shd w:val="clear" w:color="auto" w:fill="1F3864"/>
          </w:tcPr>
          <w:p>
            <w:pPr>
              <w:spacing w:after="0"/>
            </w:pPr>
            <w:r/>
            <w:r>
              <w:rPr>
                <w:b/>
                <w:i w:val="0"/>
                <w:color w:val="FFFFFF"/>
              </w:rPr>
              <w:t>Contain within</w:t>
            </w:r>
          </w:p>
        </w:tc>
      </w:tr>
      <w:tr>
        <w:tc>
          <w:tcPr>
            <w:tcW w:type="dxa" w:w="680"/>
          </w:tcPr>
          <w:p>
            <w:pPr>
              <w:spacing w:after="0"/>
              <w:jc w:val="center"/>
            </w:pPr>
            <w:r/>
            <w:r>
              <w:rPr>
                <w:b w:val="0"/>
                <w:i w:val="0"/>
              </w:rPr>
              <w:t>1</w:t>
            </w:r>
          </w:p>
        </w:tc>
        <w:tc>
          <w:tcPr>
            <w:tcW w:type="dxa" w:w="1134"/>
          </w:tcPr>
          <w:p>
            <w:pPr>
              <w:spacing w:after="0"/>
            </w:pPr>
            <w:r/>
            <w:r>
              <w:rPr>
                <w:b w:val="0"/>
                <w:i w:val="0"/>
              </w:rPr>
              <w:t>S1 Critical</w:t>
            </w:r>
          </w:p>
        </w:tc>
        <w:tc>
          <w:tcPr>
            <w:tcW w:type="dxa" w:w="2381"/>
          </w:tcPr>
          <w:p>
            <w:pPr>
              <w:spacing w:after="0"/>
            </w:pPr>
            <w:r/>
            <w:r>
              <w:rPr>
                <w:b w:val="0"/>
                <w:i w:val="0"/>
              </w:rPr>
              <w:t>Confirmed breach of Restricted data, or a production system down for all users.</w:t>
            </w:r>
          </w:p>
        </w:tc>
        <w:tc>
          <w:tcPr>
            <w:tcW w:type="dxa" w:w="2948"/>
          </w:tcPr>
          <w:p>
            <w:pPr>
              <w:spacing w:after="0"/>
            </w:pPr>
            <w:r/>
            <w:r>
              <w:rPr>
                <w:b w:val="0"/>
                <w:i w:val="0"/>
              </w:rPr>
              <w:t>Leak of citizen personal data; ransomware; defaced public portal; compromised administrator account.</w:t>
            </w:r>
          </w:p>
        </w:tc>
        <w:tc>
          <w:tcPr>
            <w:tcW w:type="dxa" w:w="1247"/>
          </w:tcPr>
          <w:p>
            <w:pPr>
              <w:spacing w:after="0"/>
            </w:pPr>
            <w:r/>
            <w:r>
              <w:rPr>
                <w:b w:val="0"/>
                <w:i w:val="0"/>
              </w:rPr>
              <w:t>15 minutes</w:t>
            </w:r>
          </w:p>
        </w:tc>
        <w:tc>
          <w:tcPr>
            <w:tcW w:type="dxa" w:w="1247"/>
          </w:tcPr>
          <w:p>
            <w:pPr>
              <w:spacing w:after="0"/>
            </w:pPr>
            <w:r/>
            <w:r>
              <w:rPr>
                <w:b w:val="0"/>
                <w:i w:val="0"/>
              </w:rPr>
              <w:t>4 hours</w:t>
            </w:r>
          </w:p>
        </w:tc>
      </w:tr>
      <w:tr>
        <w:tc>
          <w:tcPr>
            <w:tcW w:type="dxa" w:w="680"/>
          </w:tcPr>
          <w:p>
            <w:pPr>
              <w:spacing w:after="0"/>
              <w:jc w:val="center"/>
            </w:pPr>
            <w:r/>
            <w:r>
              <w:rPr>
                <w:b w:val="0"/>
                <w:i w:val="0"/>
              </w:rPr>
              <w:t>2</w:t>
            </w:r>
          </w:p>
        </w:tc>
        <w:tc>
          <w:tcPr>
            <w:tcW w:type="dxa" w:w="1134"/>
          </w:tcPr>
          <w:p>
            <w:pPr>
              <w:spacing w:after="0"/>
            </w:pPr>
            <w:r/>
            <w:r>
              <w:rPr>
                <w:b w:val="0"/>
                <w:i w:val="0"/>
              </w:rPr>
              <w:t>S2 High</w:t>
            </w:r>
          </w:p>
        </w:tc>
        <w:tc>
          <w:tcPr>
            <w:tcW w:type="dxa" w:w="2381"/>
          </w:tcPr>
          <w:p>
            <w:pPr>
              <w:spacing w:after="0"/>
            </w:pPr>
            <w:r/>
            <w:r>
              <w:rPr>
                <w:b w:val="0"/>
                <w:i w:val="0"/>
              </w:rPr>
              <w:t>Serious threat to Confidential or Restricted data, or a major function unavailable.</w:t>
            </w:r>
          </w:p>
        </w:tc>
        <w:tc>
          <w:tcPr>
            <w:tcW w:type="dxa" w:w="2948"/>
          </w:tcPr>
          <w:p>
            <w:pPr>
              <w:spacing w:after="0"/>
            </w:pPr>
            <w:r/>
            <w:r>
              <w:rPr>
                <w:b w:val="0"/>
                <w:i w:val="0"/>
              </w:rPr>
              <w:t>Malware on a server; suspected unauthorised access; exposed credentials or keys.</w:t>
            </w:r>
          </w:p>
        </w:tc>
        <w:tc>
          <w:tcPr>
            <w:tcW w:type="dxa" w:w="1247"/>
          </w:tcPr>
          <w:p>
            <w:pPr>
              <w:spacing w:after="0"/>
            </w:pPr>
            <w:r/>
            <w:r>
              <w:rPr>
                <w:b w:val="0"/>
                <w:i w:val="0"/>
              </w:rPr>
              <w:t>1 hour</w:t>
            </w:r>
          </w:p>
        </w:tc>
        <w:tc>
          <w:tcPr>
            <w:tcW w:type="dxa" w:w="1247"/>
          </w:tcPr>
          <w:p>
            <w:pPr>
              <w:spacing w:after="0"/>
            </w:pPr>
            <w:r/>
            <w:r>
              <w:rPr>
                <w:b w:val="0"/>
                <w:i w:val="0"/>
              </w:rPr>
              <w:t>24 hours</w:t>
            </w:r>
          </w:p>
        </w:tc>
      </w:tr>
      <w:tr>
        <w:tc>
          <w:tcPr>
            <w:tcW w:type="dxa" w:w="680"/>
          </w:tcPr>
          <w:p>
            <w:pPr>
              <w:spacing w:after="0"/>
              <w:jc w:val="center"/>
            </w:pPr>
            <w:r/>
            <w:r>
              <w:rPr>
                <w:b w:val="0"/>
                <w:i w:val="0"/>
              </w:rPr>
              <w:t>3</w:t>
            </w:r>
          </w:p>
        </w:tc>
        <w:tc>
          <w:tcPr>
            <w:tcW w:type="dxa" w:w="1134"/>
          </w:tcPr>
          <w:p>
            <w:pPr>
              <w:spacing w:after="0"/>
            </w:pPr>
            <w:r/>
            <w:r>
              <w:rPr>
                <w:b w:val="0"/>
                <w:i w:val="0"/>
              </w:rPr>
              <w:t>S3 Medium</w:t>
            </w:r>
          </w:p>
        </w:tc>
        <w:tc>
          <w:tcPr>
            <w:tcW w:type="dxa" w:w="2381"/>
          </w:tcPr>
          <w:p>
            <w:pPr>
              <w:spacing w:after="0"/>
            </w:pPr>
            <w:r/>
            <w:r>
              <w:rPr>
                <w:b w:val="0"/>
                <w:i w:val="0"/>
              </w:rPr>
              <w:t>Limited impact and no confirmed data exposure.</w:t>
            </w:r>
          </w:p>
        </w:tc>
        <w:tc>
          <w:tcPr>
            <w:tcW w:type="dxa" w:w="2948"/>
          </w:tcPr>
          <w:p>
            <w:pPr>
              <w:spacing w:after="0"/>
            </w:pPr>
            <w:r/>
            <w:r>
              <w:rPr>
                <w:b w:val="0"/>
                <w:i w:val="0"/>
              </w:rPr>
              <w:t>Password-guessing attack on a login page; vulnerability reported in production; lost laptop with an encrypted disk.</w:t>
            </w:r>
          </w:p>
        </w:tc>
        <w:tc>
          <w:tcPr>
            <w:tcW w:type="dxa" w:w="1247"/>
          </w:tcPr>
          <w:p>
            <w:pPr>
              <w:spacing w:after="0"/>
            </w:pPr>
            <w:r/>
            <w:r>
              <w:rPr>
                <w:b w:val="0"/>
                <w:i w:val="0"/>
              </w:rPr>
              <w:t>4 hours</w:t>
            </w:r>
          </w:p>
        </w:tc>
        <w:tc>
          <w:tcPr>
            <w:tcW w:type="dxa" w:w="1247"/>
          </w:tcPr>
          <w:p>
            <w:pPr>
              <w:spacing w:after="0"/>
            </w:pPr>
            <w:r/>
            <w:r>
              <w:rPr>
                <w:b w:val="0"/>
                <w:i w:val="0"/>
              </w:rPr>
              <w:t>3 working days</w:t>
            </w:r>
          </w:p>
        </w:tc>
      </w:tr>
      <w:tr>
        <w:tc>
          <w:tcPr>
            <w:tcW w:type="dxa" w:w="680"/>
          </w:tcPr>
          <w:p>
            <w:pPr>
              <w:spacing w:after="0"/>
              <w:jc w:val="center"/>
            </w:pPr>
            <w:r/>
            <w:r>
              <w:rPr>
                <w:b w:val="0"/>
                <w:i w:val="0"/>
              </w:rPr>
              <w:t>4</w:t>
            </w:r>
          </w:p>
        </w:tc>
        <w:tc>
          <w:tcPr>
            <w:tcW w:type="dxa" w:w="1134"/>
          </w:tcPr>
          <w:p>
            <w:pPr>
              <w:spacing w:after="0"/>
            </w:pPr>
            <w:r/>
            <w:r>
              <w:rPr>
                <w:b w:val="0"/>
                <w:i w:val="0"/>
              </w:rPr>
              <w:t>S4 Low</w:t>
            </w:r>
          </w:p>
        </w:tc>
        <w:tc>
          <w:tcPr>
            <w:tcW w:type="dxa" w:w="2381"/>
          </w:tcPr>
          <w:p>
            <w:pPr>
              <w:spacing w:after="0"/>
            </w:pPr>
            <w:r/>
            <w:r>
              <w:rPr>
                <w:b w:val="0"/>
                <w:i w:val="0"/>
              </w:rPr>
              <w:t>Minor policy breach or suspicious event.</w:t>
            </w:r>
          </w:p>
        </w:tc>
        <w:tc>
          <w:tcPr>
            <w:tcW w:type="dxa" w:w="2948"/>
          </w:tcPr>
          <w:p>
            <w:pPr>
              <w:spacing w:after="0"/>
            </w:pPr>
            <w:r/>
            <w:r>
              <w:rPr>
                <w:b w:val="0"/>
                <w:i w:val="0"/>
              </w:rPr>
              <w:t>Phishing email reported and not clicked; password shared within the team.</w:t>
            </w:r>
          </w:p>
        </w:tc>
        <w:tc>
          <w:tcPr>
            <w:tcW w:type="dxa" w:w="1247"/>
          </w:tcPr>
          <w:p>
            <w:pPr>
              <w:spacing w:after="0"/>
            </w:pPr>
            <w:r/>
            <w:r>
              <w:rPr>
                <w:b w:val="0"/>
                <w:i w:val="0"/>
              </w:rPr>
              <w:t>1 working day</w:t>
            </w:r>
          </w:p>
        </w:tc>
        <w:tc>
          <w:tcPr>
            <w:tcW w:type="dxa" w:w="1247"/>
          </w:tcPr>
          <w:p>
            <w:pPr>
              <w:spacing w:after="0"/>
            </w:pPr>
            <w:r/>
            <w:r>
              <w:rPr>
                <w:b w:val="0"/>
                <w:i w:val="0"/>
              </w:rPr>
              <w:t>7 working days</w:t>
            </w:r>
          </w:p>
        </w:tc>
      </w:tr>
    </w:tbl>
    <w:p/>
    <w:p>
      <w:pPr>
        <w:pStyle w:val="Heading1"/>
      </w:pPr>
      <w:r>
        <w:t>6. Escalation matrix</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680"/>
            <w:shd w:val="clear" w:color="auto" w:fill="1F3864"/>
          </w:tcPr>
          <w:p>
            <w:pPr>
              <w:spacing w:after="0"/>
            </w:pPr>
            <w:r/>
            <w:r>
              <w:rPr>
                <w:b/>
                <w:i w:val="0"/>
                <w:color w:val="FFFFFF"/>
              </w:rPr>
              <w:t>Sl. No.</w:t>
            </w:r>
          </w:p>
        </w:tc>
        <w:tc>
          <w:tcPr>
            <w:tcW w:type="dxa" w:w="1134"/>
            <w:shd w:val="clear" w:color="auto" w:fill="1F3864"/>
          </w:tcPr>
          <w:p>
            <w:pPr>
              <w:spacing w:after="0"/>
            </w:pPr>
            <w:r/>
            <w:r>
              <w:rPr>
                <w:b/>
                <w:i w:val="0"/>
                <w:color w:val="FFFFFF"/>
              </w:rPr>
              <w:t>Severity</w:t>
            </w:r>
          </w:p>
        </w:tc>
        <w:tc>
          <w:tcPr>
            <w:tcW w:type="dxa" w:w="1814"/>
            <w:shd w:val="clear" w:color="auto" w:fill="1F3864"/>
          </w:tcPr>
          <w:p>
            <w:pPr>
              <w:spacing w:after="0"/>
            </w:pPr>
            <w:r/>
            <w:r>
              <w:rPr>
                <w:b/>
                <w:i w:val="0"/>
                <w:color w:val="FFFFFF"/>
              </w:rPr>
              <w:t>First contact</w:t>
            </w:r>
          </w:p>
        </w:tc>
        <w:tc>
          <w:tcPr>
            <w:tcW w:type="dxa" w:w="2041"/>
            <w:shd w:val="clear" w:color="auto" w:fill="1F3864"/>
          </w:tcPr>
          <w:p>
            <w:pPr>
              <w:spacing w:after="0"/>
            </w:pPr>
            <w:r/>
            <w:r>
              <w:rPr>
                <w:b/>
                <w:i w:val="0"/>
                <w:color w:val="FFFFFF"/>
              </w:rPr>
              <w:t>Escalate to</w:t>
            </w:r>
          </w:p>
        </w:tc>
        <w:tc>
          <w:tcPr>
            <w:tcW w:type="dxa" w:w="1928"/>
            <w:shd w:val="clear" w:color="auto" w:fill="1F3864"/>
          </w:tcPr>
          <w:p>
            <w:pPr>
              <w:spacing w:after="0"/>
            </w:pPr>
            <w:r/>
            <w:r>
              <w:rPr>
                <w:b/>
                <w:i w:val="0"/>
                <w:color w:val="FFFFFF"/>
              </w:rPr>
              <w:t>Then to</w:t>
            </w:r>
          </w:p>
        </w:tc>
        <w:tc>
          <w:tcPr>
            <w:tcW w:type="dxa" w:w="2041"/>
            <w:shd w:val="clear" w:color="auto" w:fill="1F3864"/>
          </w:tcPr>
          <w:p>
            <w:pPr>
              <w:spacing w:after="0"/>
            </w:pPr>
            <w:r/>
            <w:r>
              <w:rPr>
                <w:b/>
                <w:i w:val="0"/>
                <w:color w:val="FFFFFF"/>
              </w:rPr>
              <w:t>Client informed</w:t>
            </w:r>
          </w:p>
        </w:tc>
      </w:tr>
      <w:tr>
        <w:tc>
          <w:tcPr>
            <w:tcW w:type="dxa" w:w="680"/>
          </w:tcPr>
          <w:p>
            <w:pPr>
              <w:spacing w:after="0"/>
              <w:jc w:val="center"/>
            </w:pPr>
            <w:r/>
            <w:r>
              <w:rPr>
                <w:b w:val="0"/>
                <w:i w:val="0"/>
              </w:rPr>
              <w:t>1</w:t>
            </w:r>
          </w:p>
        </w:tc>
        <w:tc>
          <w:tcPr>
            <w:tcW w:type="dxa" w:w="1134"/>
          </w:tcPr>
          <w:p>
            <w:pPr>
              <w:spacing w:after="0"/>
            </w:pPr>
            <w:r/>
            <w:r>
              <w:rPr>
                <w:b w:val="0"/>
                <w:i w:val="0"/>
              </w:rPr>
              <w:t>S1 Critical</w:t>
            </w:r>
          </w:p>
        </w:tc>
        <w:tc>
          <w:tcPr>
            <w:tcW w:type="dxa" w:w="1814"/>
          </w:tcPr>
          <w:p>
            <w:pPr>
              <w:spacing w:after="0"/>
            </w:pPr>
            <w:r/>
            <w:r>
              <w:rPr>
                <w:b w:val="0"/>
                <w:i w:val="0"/>
              </w:rPr>
              <w:t>Incident Manager, at once</w:t>
            </w:r>
          </w:p>
        </w:tc>
        <w:tc>
          <w:tcPr>
            <w:tcW w:type="dxa" w:w="2041"/>
          </w:tcPr>
          <w:p>
            <w:pPr>
              <w:spacing w:after="0"/>
            </w:pPr>
            <w:r/>
            <w:r>
              <w:rPr>
                <w:b w:val="0"/>
                <w:i w:val="0"/>
              </w:rPr>
              <w:t>Management representative, within 1 hour</w:t>
            </w:r>
          </w:p>
        </w:tc>
        <w:tc>
          <w:tcPr>
            <w:tcW w:type="dxa" w:w="1928"/>
          </w:tcPr>
          <w:p>
            <w:pPr>
              <w:spacing w:after="0"/>
            </w:pPr>
            <w:r/>
            <w:r>
              <w:rPr>
                <w:b w:val="0"/>
                <w:i w:val="0"/>
              </w:rPr>
              <w:t>Managing Director</w:t>
            </w:r>
          </w:p>
        </w:tc>
        <w:tc>
          <w:tcPr>
            <w:tcW w:type="dxa" w:w="2041"/>
          </w:tcPr>
          <w:p>
            <w:pPr>
              <w:spacing w:after="0"/>
            </w:pPr>
            <w:r/>
            <w:r>
              <w:rPr>
                <w:b w:val="0"/>
                <w:i w:val="0"/>
              </w:rPr>
              <w:t>Within 2 hours of confirmation, or as per contract</w:t>
            </w:r>
          </w:p>
        </w:tc>
      </w:tr>
      <w:tr>
        <w:tc>
          <w:tcPr>
            <w:tcW w:type="dxa" w:w="680"/>
          </w:tcPr>
          <w:p>
            <w:pPr>
              <w:spacing w:after="0"/>
              <w:jc w:val="center"/>
            </w:pPr>
            <w:r/>
            <w:r>
              <w:rPr>
                <w:b w:val="0"/>
                <w:i w:val="0"/>
              </w:rPr>
              <w:t>2</w:t>
            </w:r>
          </w:p>
        </w:tc>
        <w:tc>
          <w:tcPr>
            <w:tcW w:type="dxa" w:w="1134"/>
          </w:tcPr>
          <w:p>
            <w:pPr>
              <w:spacing w:after="0"/>
            </w:pPr>
            <w:r/>
            <w:r>
              <w:rPr>
                <w:b w:val="0"/>
                <w:i w:val="0"/>
              </w:rPr>
              <w:t>S2 High</w:t>
            </w:r>
          </w:p>
        </w:tc>
        <w:tc>
          <w:tcPr>
            <w:tcW w:type="dxa" w:w="1814"/>
          </w:tcPr>
          <w:p>
            <w:pPr>
              <w:spacing w:after="0"/>
            </w:pPr>
            <w:r/>
            <w:r>
              <w:rPr>
                <w:b w:val="0"/>
                <w:i w:val="0"/>
              </w:rPr>
              <w:t>Incident Manager, within 1 hour</w:t>
            </w:r>
          </w:p>
        </w:tc>
        <w:tc>
          <w:tcPr>
            <w:tcW w:type="dxa" w:w="2041"/>
          </w:tcPr>
          <w:p>
            <w:pPr>
              <w:spacing w:after="0"/>
            </w:pPr>
            <w:r/>
            <w:r>
              <w:rPr>
                <w:b w:val="0"/>
                <w:i w:val="0"/>
              </w:rPr>
              <w:t>Project Manager and Technical Lead</w:t>
            </w:r>
          </w:p>
        </w:tc>
        <w:tc>
          <w:tcPr>
            <w:tcW w:type="dxa" w:w="1928"/>
          </w:tcPr>
          <w:p>
            <w:pPr>
              <w:spacing w:after="0"/>
            </w:pPr>
            <w:r/>
            <w:r>
              <w:rPr>
                <w:b w:val="0"/>
                <w:i w:val="0"/>
              </w:rPr>
              <w:t>Management representative, if not contained in 24 hours</w:t>
            </w:r>
          </w:p>
        </w:tc>
        <w:tc>
          <w:tcPr>
            <w:tcW w:type="dxa" w:w="2041"/>
          </w:tcPr>
          <w:p>
            <w:pPr>
              <w:spacing w:after="0"/>
            </w:pPr>
            <w:r/>
            <w:r>
              <w:rPr>
                <w:b w:val="0"/>
                <w:i w:val="0"/>
              </w:rPr>
              <w:t>Within 24 hours if client data or service is affected</w:t>
            </w:r>
          </w:p>
        </w:tc>
      </w:tr>
      <w:tr>
        <w:tc>
          <w:tcPr>
            <w:tcW w:type="dxa" w:w="680"/>
          </w:tcPr>
          <w:p>
            <w:pPr>
              <w:spacing w:after="0"/>
              <w:jc w:val="center"/>
            </w:pPr>
            <w:r/>
            <w:r>
              <w:rPr>
                <w:b w:val="0"/>
                <w:i w:val="0"/>
              </w:rPr>
              <w:t>3</w:t>
            </w:r>
          </w:p>
        </w:tc>
        <w:tc>
          <w:tcPr>
            <w:tcW w:type="dxa" w:w="1134"/>
          </w:tcPr>
          <w:p>
            <w:pPr>
              <w:spacing w:after="0"/>
            </w:pPr>
            <w:r/>
            <w:r>
              <w:rPr>
                <w:b w:val="0"/>
                <w:i w:val="0"/>
              </w:rPr>
              <w:t>S3 Medium</w:t>
            </w:r>
          </w:p>
        </w:tc>
        <w:tc>
          <w:tcPr>
            <w:tcW w:type="dxa" w:w="1814"/>
          </w:tcPr>
          <w:p>
            <w:pPr>
              <w:spacing w:after="0"/>
            </w:pPr>
            <w:r/>
            <w:r>
              <w:rPr>
                <w:b w:val="0"/>
                <w:i w:val="0"/>
              </w:rPr>
              <w:t>Technical Lead</w:t>
            </w:r>
          </w:p>
        </w:tc>
        <w:tc>
          <w:tcPr>
            <w:tcW w:type="dxa" w:w="2041"/>
          </w:tcPr>
          <w:p>
            <w:pPr>
              <w:spacing w:after="0"/>
            </w:pPr>
            <w:r/>
            <w:r>
              <w:rPr>
                <w:b w:val="0"/>
                <w:i w:val="0"/>
              </w:rPr>
              <w:t>Incident Manager</w:t>
            </w:r>
          </w:p>
        </w:tc>
        <w:tc>
          <w:tcPr>
            <w:tcW w:type="dxa" w:w="1928"/>
          </w:tcPr>
          <w:p>
            <w:pPr>
              <w:spacing w:after="0"/>
            </w:pPr>
            <w:r/>
            <w:r>
              <w:rPr>
                <w:b w:val="0"/>
                <w:i w:val="0"/>
              </w:rPr>
              <w:t>–</w:t>
            </w:r>
          </w:p>
        </w:tc>
        <w:tc>
          <w:tcPr>
            <w:tcW w:type="dxa" w:w="2041"/>
          </w:tcPr>
          <w:p>
            <w:pPr>
              <w:spacing w:after="0"/>
            </w:pPr>
            <w:r/>
            <w:r>
              <w:rPr>
                <w:b w:val="0"/>
                <w:i w:val="0"/>
              </w:rPr>
              <w:t>In the monthly report, or as agreed</w:t>
            </w:r>
          </w:p>
        </w:tc>
      </w:tr>
      <w:tr>
        <w:tc>
          <w:tcPr>
            <w:tcW w:type="dxa" w:w="680"/>
          </w:tcPr>
          <w:p>
            <w:pPr>
              <w:spacing w:after="0"/>
              <w:jc w:val="center"/>
            </w:pPr>
            <w:r/>
            <w:r>
              <w:rPr>
                <w:b w:val="0"/>
                <w:i w:val="0"/>
              </w:rPr>
              <w:t>4</w:t>
            </w:r>
          </w:p>
        </w:tc>
        <w:tc>
          <w:tcPr>
            <w:tcW w:type="dxa" w:w="1134"/>
          </w:tcPr>
          <w:p>
            <w:pPr>
              <w:spacing w:after="0"/>
            </w:pPr>
            <w:r/>
            <w:r>
              <w:rPr>
                <w:b w:val="0"/>
                <w:i w:val="0"/>
              </w:rPr>
              <w:t>S4 Low</w:t>
            </w:r>
          </w:p>
        </w:tc>
        <w:tc>
          <w:tcPr>
            <w:tcW w:type="dxa" w:w="1814"/>
          </w:tcPr>
          <w:p>
            <w:pPr>
              <w:spacing w:after="0"/>
            </w:pPr>
            <w:r/>
            <w:r>
              <w:rPr>
                <w:b w:val="0"/>
                <w:i w:val="0"/>
              </w:rPr>
              <w:t>Reporting person's manager</w:t>
            </w:r>
          </w:p>
        </w:tc>
        <w:tc>
          <w:tcPr>
            <w:tcW w:type="dxa" w:w="2041"/>
          </w:tcPr>
          <w:p>
            <w:pPr>
              <w:spacing w:after="0"/>
            </w:pPr>
            <w:r/>
            <w:r>
              <w:rPr>
                <w:b w:val="0"/>
                <w:i w:val="0"/>
              </w:rPr>
              <w:t>Incident Manager</w:t>
            </w:r>
          </w:p>
        </w:tc>
        <w:tc>
          <w:tcPr>
            <w:tcW w:type="dxa" w:w="1928"/>
          </w:tcPr>
          <w:p>
            <w:pPr>
              <w:spacing w:after="0"/>
            </w:pPr>
            <w:r/>
            <w:r>
              <w:rPr>
                <w:b w:val="0"/>
                <w:i w:val="0"/>
              </w:rPr>
              <w:t>–</w:t>
            </w:r>
          </w:p>
        </w:tc>
        <w:tc>
          <w:tcPr>
            <w:tcW w:type="dxa" w:w="2041"/>
          </w:tcPr>
          <w:p>
            <w:pPr>
              <w:spacing w:after="0"/>
            </w:pPr>
            <w:r/>
            <w:r>
              <w:rPr>
                <w:b w:val="0"/>
                <w:i w:val="0"/>
              </w:rPr>
              <w:t>Not required</w:t>
            </w:r>
          </w:p>
        </w:tc>
      </w:tr>
    </w:tbl>
    <w:p/>
    <w:p>
      <w:pPr>
        <w:pStyle w:val="Heading1"/>
      </w:pPr>
      <w:r>
        <w:t>7. Detection and reporting</w:t>
      </w:r>
    </w:p>
    <w:p>
      <w:r>
        <w:t>7.1 Sources of detection</w:t>
      </w:r>
    </w:p>
    <w:p>
      <w:pPr>
        <w:pStyle w:val="ListBullet"/>
      </w:pPr>
      <w:r>
        <w:t>Application logs and audit trails (logins, data changes, administrator actions).</w:t>
      </w:r>
    </w:p>
    <w:p>
      <w:pPr>
        <w:pStyle w:val="ListBullet"/>
      </w:pPr>
      <w:r>
        <w:t>Login history and alerts on repeated failed logins.</w:t>
      </w:r>
    </w:p>
    <w:p>
      <w:pPr>
        <w:pStyle w:val="ListBullet"/>
      </w:pPr>
      <w:r>
        <w:t>Server and infrastructure monitoring.</w:t>
      </w:r>
    </w:p>
    <w:p>
      <w:pPr>
        <w:pStyle w:val="ListBullet"/>
      </w:pPr>
      <w:r>
        <w:t>Alerts from hosting providers (Karnataka State Data Centre, client IT teams).</w:t>
      </w:r>
    </w:p>
    <w:p>
      <w:pPr>
        <w:pStyle w:val="ListBullet"/>
      </w:pPr>
      <w:r>
        <w:t>Reports from clients, users, employees and vendors.</w:t>
      </w:r>
    </w:p>
    <w:p>
      <w:r>
        <w:t>7.2 Internal reporting</w:t>
      </w:r>
    </w:p>
    <w:p>
      <w:pPr>
        <w:pStyle w:val="ListBullet"/>
      </w:pPr>
      <w:r>
        <w:t>Anyone who notices or suspects an incident reports it at once to the Incident Manager by phone and by email ([To be filled]).</w:t>
      </w:r>
    </w:p>
    <w:p>
      <w:pPr>
        <w:pStyle w:val="ListBullet"/>
      </w:pPr>
      <w:r>
        <w:t>Do not investigate on your own, and do not delete or change anything that may be evidence.</w:t>
      </w:r>
    </w:p>
    <w:p>
      <w:r>
        <w:t>7.3 External reporting</w:t>
      </w:r>
    </w:p>
    <w:p>
      <w:pPr>
        <w:pStyle w:val="ListBullet"/>
      </w:pPr>
      <w:r>
        <w:t>CERT-In: within 6 hours of noticing the incident, for the incident types listed in the CERT-In Directions of 28 April 2022.</w:t>
      </w:r>
    </w:p>
    <w:p>
      <w:pPr>
        <w:pStyle w:val="ListBullet"/>
      </w:pPr>
      <w:r>
        <w:t>Client: as per the contract. Where the contract is silent, as per the escalation matrix above.</w:t>
      </w:r>
    </w:p>
    <w:p>
      <w:pPr>
        <w:pStyle w:val="ListBullet"/>
      </w:pPr>
      <w:r>
        <w:t>Personal data breach: the client, as data fiduciary, is informed without delay so that it can notify the Data Protection Board of India and affected persons under the DPDP Act, 2023. The Company gives the client all the information it needs.</w:t>
      </w:r>
    </w:p>
    <w:p>
      <w:pPr>
        <w:pStyle w:val="Heading1"/>
      </w:pPr>
      <w:r>
        <w:t>8. Standard operating procedure (SOP)</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680"/>
            <w:shd w:val="clear" w:color="auto" w:fill="1F3864"/>
          </w:tcPr>
          <w:p>
            <w:pPr>
              <w:spacing w:after="0"/>
            </w:pPr>
            <w:r/>
            <w:r>
              <w:rPr>
                <w:b/>
                <w:i w:val="0"/>
                <w:color w:val="FFFFFF"/>
              </w:rPr>
              <w:t>Sl. No.</w:t>
            </w:r>
          </w:p>
        </w:tc>
        <w:tc>
          <w:tcPr>
            <w:tcW w:type="dxa" w:w="1701"/>
            <w:shd w:val="clear" w:color="auto" w:fill="1F3864"/>
          </w:tcPr>
          <w:p>
            <w:pPr>
              <w:spacing w:after="0"/>
            </w:pPr>
            <w:r/>
            <w:r>
              <w:rPr>
                <w:b/>
                <w:i w:val="0"/>
                <w:color w:val="FFFFFF"/>
              </w:rPr>
              <w:t>Step</w:t>
            </w:r>
          </w:p>
        </w:tc>
        <w:tc>
          <w:tcPr>
            <w:tcW w:type="dxa" w:w="5102"/>
            <w:shd w:val="clear" w:color="auto" w:fill="1F3864"/>
          </w:tcPr>
          <w:p>
            <w:pPr>
              <w:spacing w:after="0"/>
            </w:pPr>
            <w:r/>
            <w:r>
              <w:rPr>
                <w:b/>
                <w:i w:val="0"/>
                <w:color w:val="FFFFFF"/>
              </w:rPr>
              <w:t>Actions</w:t>
            </w:r>
          </w:p>
        </w:tc>
        <w:tc>
          <w:tcPr>
            <w:tcW w:type="dxa" w:w="2154"/>
            <w:shd w:val="clear" w:color="auto" w:fill="1F3864"/>
          </w:tcPr>
          <w:p>
            <w:pPr>
              <w:spacing w:after="0"/>
            </w:pPr>
            <w:r/>
            <w:r>
              <w:rPr>
                <w:b/>
                <w:i w:val="0"/>
                <w:color w:val="FFFFFF"/>
              </w:rPr>
              <w:t>Owner</w:t>
            </w:r>
          </w:p>
        </w:tc>
      </w:tr>
      <w:tr>
        <w:tc>
          <w:tcPr>
            <w:tcW w:type="dxa" w:w="680"/>
          </w:tcPr>
          <w:p>
            <w:pPr>
              <w:spacing w:after="0"/>
              <w:jc w:val="center"/>
            </w:pPr>
            <w:r/>
            <w:r>
              <w:rPr>
                <w:b w:val="0"/>
                <w:i w:val="0"/>
              </w:rPr>
              <w:t>1</w:t>
            </w:r>
          </w:p>
        </w:tc>
        <w:tc>
          <w:tcPr>
            <w:tcW w:type="dxa" w:w="1701"/>
          </w:tcPr>
          <w:p>
            <w:pPr>
              <w:spacing w:after="0"/>
            </w:pPr>
            <w:r/>
            <w:r>
              <w:rPr>
                <w:b w:val="0"/>
                <w:i w:val="0"/>
              </w:rPr>
              <w:t>Identify and log</w:t>
            </w:r>
          </w:p>
        </w:tc>
        <w:tc>
          <w:tcPr>
            <w:tcW w:type="dxa" w:w="5102"/>
          </w:tcPr>
          <w:p>
            <w:pPr>
              <w:spacing w:after="0"/>
            </w:pPr>
            <w:r/>
            <w:r>
              <w:rPr>
                <w:b w:val="0"/>
                <w:i w:val="0"/>
              </w:rPr>
              <w:t>Record the incident in the incident register, assign severity and inform the team.</w:t>
            </w:r>
          </w:p>
        </w:tc>
        <w:tc>
          <w:tcPr>
            <w:tcW w:type="dxa" w:w="2154"/>
          </w:tcPr>
          <w:p>
            <w:pPr>
              <w:spacing w:after="0"/>
            </w:pPr>
            <w:r/>
            <w:r>
              <w:rPr>
                <w:b w:val="0"/>
                <w:i w:val="0"/>
              </w:rPr>
              <w:t>Incident Manager</w:t>
            </w:r>
          </w:p>
        </w:tc>
      </w:tr>
      <w:tr>
        <w:tc>
          <w:tcPr>
            <w:tcW w:type="dxa" w:w="680"/>
          </w:tcPr>
          <w:p>
            <w:pPr>
              <w:spacing w:after="0"/>
              <w:jc w:val="center"/>
            </w:pPr>
            <w:r/>
            <w:r>
              <w:rPr>
                <w:b w:val="0"/>
                <w:i w:val="0"/>
              </w:rPr>
              <w:t>2</w:t>
            </w:r>
          </w:p>
        </w:tc>
        <w:tc>
          <w:tcPr>
            <w:tcW w:type="dxa" w:w="1701"/>
          </w:tcPr>
          <w:p>
            <w:pPr>
              <w:spacing w:after="0"/>
            </w:pPr>
            <w:r/>
            <w:r>
              <w:rPr>
                <w:b w:val="0"/>
                <w:i w:val="0"/>
              </w:rPr>
              <w:t>Contain</w:t>
            </w:r>
          </w:p>
        </w:tc>
        <w:tc>
          <w:tcPr>
            <w:tcW w:type="dxa" w:w="5102"/>
          </w:tcPr>
          <w:p>
            <w:pPr>
              <w:spacing w:after="0"/>
            </w:pPr>
            <w:r/>
            <w:r>
              <w:rPr>
                <w:b w:val="0"/>
                <w:i w:val="0"/>
              </w:rPr>
              <w:t>Isolate affected systems, disable compromised accounts, block malicious IP addresses and change exposed credentials or keys. Preserve evidence (logs, snapshots) before making changes.</w:t>
            </w:r>
          </w:p>
        </w:tc>
        <w:tc>
          <w:tcPr>
            <w:tcW w:type="dxa" w:w="2154"/>
          </w:tcPr>
          <w:p>
            <w:pPr>
              <w:spacing w:after="0"/>
            </w:pPr>
            <w:r/>
            <w:r>
              <w:rPr>
                <w:b w:val="0"/>
                <w:i w:val="0"/>
              </w:rPr>
              <w:t>DevOps / Infrastructure Lead</w:t>
            </w:r>
          </w:p>
        </w:tc>
      </w:tr>
      <w:tr>
        <w:tc>
          <w:tcPr>
            <w:tcW w:type="dxa" w:w="680"/>
          </w:tcPr>
          <w:p>
            <w:pPr>
              <w:spacing w:after="0"/>
              <w:jc w:val="center"/>
            </w:pPr>
            <w:r/>
            <w:r>
              <w:rPr>
                <w:b w:val="0"/>
                <w:i w:val="0"/>
              </w:rPr>
              <w:t>3</w:t>
            </w:r>
          </w:p>
        </w:tc>
        <w:tc>
          <w:tcPr>
            <w:tcW w:type="dxa" w:w="1701"/>
          </w:tcPr>
          <w:p>
            <w:pPr>
              <w:spacing w:after="0"/>
            </w:pPr>
            <w:r/>
            <w:r>
              <w:rPr>
                <w:b w:val="0"/>
                <w:i w:val="0"/>
              </w:rPr>
              <w:t>Investigate</w:t>
            </w:r>
          </w:p>
        </w:tc>
        <w:tc>
          <w:tcPr>
            <w:tcW w:type="dxa" w:w="5102"/>
          </w:tcPr>
          <w:p>
            <w:pPr>
              <w:spacing w:after="0"/>
            </w:pPr>
            <w:r/>
            <w:r>
              <w:rPr>
                <w:b w:val="0"/>
                <w:i w:val="0"/>
              </w:rPr>
              <w:t>Find the cause and the extent: which data, which users and which time period.</w:t>
            </w:r>
          </w:p>
        </w:tc>
        <w:tc>
          <w:tcPr>
            <w:tcW w:type="dxa" w:w="2154"/>
          </w:tcPr>
          <w:p>
            <w:pPr>
              <w:spacing w:after="0"/>
            </w:pPr>
            <w:r/>
            <w:r>
              <w:rPr>
                <w:b w:val="0"/>
                <w:i w:val="0"/>
              </w:rPr>
              <w:t>Technical Lead</w:t>
            </w:r>
          </w:p>
        </w:tc>
      </w:tr>
      <w:tr>
        <w:tc>
          <w:tcPr>
            <w:tcW w:type="dxa" w:w="680"/>
          </w:tcPr>
          <w:p>
            <w:pPr>
              <w:spacing w:after="0"/>
              <w:jc w:val="center"/>
            </w:pPr>
            <w:r/>
            <w:r>
              <w:rPr>
                <w:b w:val="0"/>
                <w:i w:val="0"/>
              </w:rPr>
              <w:t>4</w:t>
            </w:r>
          </w:p>
        </w:tc>
        <w:tc>
          <w:tcPr>
            <w:tcW w:type="dxa" w:w="1701"/>
          </w:tcPr>
          <w:p>
            <w:pPr>
              <w:spacing w:after="0"/>
            </w:pPr>
            <w:r/>
            <w:r>
              <w:rPr>
                <w:b w:val="0"/>
                <w:i w:val="0"/>
              </w:rPr>
              <w:t>Eradicate</w:t>
            </w:r>
          </w:p>
        </w:tc>
        <w:tc>
          <w:tcPr>
            <w:tcW w:type="dxa" w:w="5102"/>
          </w:tcPr>
          <w:p>
            <w:pPr>
              <w:spacing w:after="0"/>
            </w:pPr>
            <w:r/>
            <w:r>
              <w:rPr>
                <w:b w:val="0"/>
                <w:i w:val="0"/>
              </w:rPr>
              <w:t>Remove malware, fix the vulnerability and apply patches.</w:t>
            </w:r>
          </w:p>
        </w:tc>
        <w:tc>
          <w:tcPr>
            <w:tcW w:type="dxa" w:w="2154"/>
          </w:tcPr>
          <w:p>
            <w:pPr>
              <w:spacing w:after="0"/>
            </w:pPr>
            <w:r/>
            <w:r>
              <w:rPr>
                <w:b w:val="0"/>
                <w:i w:val="0"/>
              </w:rPr>
              <w:t>Technical Lead, DevOps Lead</w:t>
            </w:r>
          </w:p>
        </w:tc>
      </w:tr>
      <w:tr>
        <w:tc>
          <w:tcPr>
            <w:tcW w:type="dxa" w:w="680"/>
          </w:tcPr>
          <w:p>
            <w:pPr>
              <w:spacing w:after="0"/>
              <w:jc w:val="center"/>
            </w:pPr>
            <w:r/>
            <w:r>
              <w:rPr>
                <w:b w:val="0"/>
                <w:i w:val="0"/>
              </w:rPr>
              <w:t>5</w:t>
            </w:r>
          </w:p>
        </w:tc>
        <w:tc>
          <w:tcPr>
            <w:tcW w:type="dxa" w:w="1701"/>
          </w:tcPr>
          <w:p>
            <w:pPr>
              <w:spacing w:after="0"/>
            </w:pPr>
            <w:r/>
            <w:r>
              <w:rPr>
                <w:b w:val="0"/>
                <w:i w:val="0"/>
              </w:rPr>
              <w:t>Recover</w:t>
            </w:r>
          </w:p>
        </w:tc>
        <w:tc>
          <w:tcPr>
            <w:tcW w:type="dxa" w:w="5102"/>
          </w:tcPr>
          <w:p>
            <w:pPr>
              <w:spacing w:after="0"/>
            </w:pPr>
            <w:r/>
            <w:r>
              <w:rPr>
                <w:b w:val="0"/>
                <w:i w:val="0"/>
              </w:rPr>
              <w:t>Restore from a clean backup, verify the system and watch it closely for 7 days.</w:t>
            </w:r>
          </w:p>
        </w:tc>
        <w:tc>
          <w:tcPr>
            <w:tcW w:type="dxa" w:w="2154"/>
          </w:tcPr>
          <w:p>
            <w:pPr>
              <w:spacing w:after="0"/>
            </w:pPr>
            <w:r/>
            <w:r>
              <w:rPr>
                <w:b w:val="0"/>
                <w:i w:val="0"/>
              </w:rPr>
              <w:t>DevOps / Infrastructure Lead</w:t>
            </w:r>
          </w:p>
        </w:tc>
      </w:tr>
      <w:tr>
        <w:tc>
          <w:tcPr>
            <w:tcW w:type="dxa" w:w="680"/>
          </w:tcPr>
          <w:p>
            <w:pPr>
              <w:spacing w:after="0"/>
              <w:jc w:val="center"/>
            </w:pPr>
            <w:r/>
            <w:r>
              <w:rPr>
                <w:b w:val="0"/>
                <w:i w:val="0"/>
              </w:rPr>
              <w:t>6</w:t>
            </w:r>
          </w:p>
        </w:tc>
        <w:tc>
          <w:tcPr>
            <w:tcW w:type="dxa" w:w="1701"/>
          </w:tcPr>
          <w:p>
            <w:pPr>
              <w:spacing w:after="0"/>
            </w:pPr>
            <w:r/>
            <w:r>
              <w:rPr>
                <w:b w:val="0"/>
                <w:i w:val="0"/>
              </w:rPr>
              <w:t>Communicate</w:t>
            </w:r>
          </w:p>
        </w:tc>
        <w:tc>
          <w:tcPr>
            <w:tcW w:type="dxa" w:w="5102"/>
          </w:tcPr>
          <w:p>
            <w:pPr>
              <w:spacing w:after="0"/>
            </w:pPr>
            <w:r/>
            <w:r>
              <w:rPr>
                <w:b w:val="0"/>
                <w:i w:val="0"/>
              </w:rPr>
              <w:t>Update the client and management as per the escalation matrix, and make external reports.</w:t>
            </w:r>
          </w:p>
        </w:tc>
        <w:tc>
          <w:tcPr>
            <w:tcW w:type="dxa" w:w="2154"/>
          </w:tcPr>
          <w:p>
            <w:pPr>
              <w:spacing w:after="0"/>
            </w:pPr>
            <w:r/>
            <w:r>
              <w:rPr>
                <w:b w:val="0"/>
                <w:i w:val="0"/>
              </w:rPr>
              <w:t>Project Manager, Incident Manager</w:t>
            </w:r>
          </w:p>
        </w:tc>
      </w:tr>
      <w:tr>
        <w:tc>
          <w:tcPr>
            <w:tcW w:type="dxa" w:w="680"/>
          </w:tcPr>
          <w:p>
            <w:pPr>
              <w:spacing w:after="0"/>
              <w:jc w:val="center"/>
            </w:pPr>
            <w:r/>
            <w:r>
              <w:rPr>
                <w:b w:val="0"/>
                <w:i w:val="0"/>
              </w:rPr>
              <w:t>7</w:t>
            </w:r>
          </w:p>
        </w:tc>
        <w:tc>
          <w:tcPr>
            <w:tcW w:type="dxa" w:w="1701"/>
          </w:tcPr>
          <w:p>
            <w:pPr>
              <w:spacing w:after="0"/>
            </w:pPr>
            <w:r/>
            <w:r>
              <w:rPr>
                <w:b w:val="0"/>
                <w:i w:val="0"/>
              </w:rPr>
              <w:t>Close and review</w:t>
            </w:r>
          </w:p>
        </w:tc>
        <w:tc>
          <w:tcPr>
            <w:tcW w:type="dxa" w:w="5102"/>
          </w:tcPr>
          <w:p>
            <w:pPr>
              <w:spacing w:after="0"/>
            </w:pPr>
            <w:r/>
            <w:r>
              <w:rPr>
                <w:b w:val="0"/>
                <w:i w:val="0"/>
              </w:rPr>
              <w:t>For S1 and S2 incidents, complete a root cause analysis (RCA) report within 5 working days of closure. Record lessons learnt and update controls and this plan.</w:t>
            </w:r>
          </w:p>
        </w:tc>
        <w:tc>
          <w:tcPr>
            <w:tcW w:type="dxa" w:w="2154"/>
          </w:tcPr>
          <w:p>
            <w:pPr>
              <w:spacing w:after="0"/>
            </w:pPr>
            <w:r/>
            <w:r>
              <w:rPr>
                <w:b w:val="0"/>
                <w:i w:val="0"/>
              </w:rPr>
              <w:t>Incident Manager</w:t>
            </w:r>
          </w:p>
        </w:tc>
      </w:tr>
    </w:tbl>
    <w:p/>
    <w:p>
      <w:pPr>
        <w:pStyle w:val="Heading1"/>
      </w:pPr>
      <w:r>
        <w:t>9. Incident register and evidence</w:t>
      </w:r>
    </w:p>
    <w:p>
      <w:pPr>
        <w:pStyle w:val="ListBullet"/>
      </w:pPr>
      <w:r>
        <w:t>Every incident is recorded in the incident register with: incident ID, date and time detected, reported by, system affected, severity, description, actions taken, data affected, notifications made (to whom and when), root cause and closure date.</w:t>
      </w:r>
    </w:p>
    <w:p>
      <w:pPr>
        <w:pStyle w:val="ListBullet"/>
      </w:pPr>
      <w:r>
        <w:t>The incident register is maintained in [To be filled] (tool or format).</w:t>
      </w:r>
    </w:p>
    <w:p>
      <w:pPr>
        <w:pStyle w:val="ListBullet"/>
      </w:pPr>
      <w:r>
        <w:t>Logs of all systems are kept for 180 days within India, as required by the CERT-In Directions.</w:t>
      </w:r>
    </w:p>
    <w:p>
      <w:pPr>
        <w:pStyle w:val="ListBullet"/>
      </w:pPr>
      <w:r>
        <w:t>Evidence and RCA reports are kept for at least one year after the incident is closed.</w:t>
      </w:r>
    </w:p>
    <w:p>
      <w:pPr>
        <w:pStyle w:val="Heading1"/>
      </w:pPr>
      <w:r>
        <w:t>10. Training and awareness</w:t>
      </w:r>
    </w:p>
    <w:p>
      <w:pPr>
        <w:pStyle w:val="ListBullet"/>
      </w:pPr>
      <w:r>
        <w:t>All staff learn how to recognise and report incidents during induction and in the yearly refresher.</w:t>
      </w:r>
    </w:p>
    <w:p>
      <w:pPr>
        <w:pStyle w:val="ListBullet"/>
      </w:pPr>
      <w:r>
        <w:t>The incident response team runs a tabletop exercise at least once a year.</w:t>
      </w:r>
    </w:p>
    <w:p>
      <w:pPr>
        <w:pStyle w:val="ListBullet"/>
      </w:pPr>
      <w:r>
        <w:t>Training and exercise records are kept for at least three years.</w:t>
      </w:r>
    </w:p>
    <w:p>
      <w:pPr>
        <w:pStyle w:val="Heading1"/>
      </w:pPr>
      <w:r>
        <w:t>11. Compliance, exceptions and review</w:t>
      </w:r>
    </w:p>
    <w:p>
      <w:pPr>
        <w:pStyle w:val="ListBullet"/>
      </w:pPr>
      <w:r>
        <w:t>Breach of this policy may lead to disciplinary action, in line with the Company's HR policy.</w:t>
      </w:r>
    </w:p>
    <w:p>
      <w:pPr>
        <w:pStyle w:val="ListBullet"/>
      </w:pPr>
      <w:r>
        <w:t>Any exception must be approved in writing by the Information Security Officer, with a reason and an expiry date, and recorded in the exceptions register.</w:t>
      </w:r>
    </w:p>
    <w:p>
      <w:pPr>
        <w:pStyle w:val="ListBullet"/>
      </w:pPr>
      <w:r>
        <w:t>This policy is reviewed at least once a year, and also after a major security incident, a change in law or a major change in the Company's systems.</w:t>
      </w:r>
    </w:p>
    <w:p>
      <w:pPr>
        <w:pStyle w:val="Heading1"/>
      </w:pPr>
      <w:r>
        <w:t>Approval</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680"/>
            <w:shd w:val="clear" w:color="auto" w:fill="1F3864"/>
          </w:tcPr>
          <w:p>
            <w:pPr>
              <w:spacing w:after="0"/>
            </w:pPr>
            <w:r/>
            <w:r>
              <w:rPr>
                <w:b/>
                <w:i w:val="0"/>
                <w:color w:val="FFFFFF"/>
              </w:rPr>
              <w:t>Sl. No.</w:t>
            </w:r>
          </w:p>
        </w:tc>
        <w:tc>
          <w:tcPr>
            <w:tcW w:type="dxa" w:w="1587"/>
            <w:shd w:val="clear" w:color="auto" w:fill="1F3864"/>
          </w:tcPr>
          <w:p>
            <w:pPr>
              <w:spacing w:after="0"/>
            </w:pPr>
            <w:r/>
            <w:r>
              <w:rPr>
                <w:b/>
                <w:i w:val="0"/>
                <w:color w:val="FFFFFF"/>
              </w:rPr>
              <w:t>Role</w:t>
            </w:r>
          </w:p>
        </w:tc>
        <w:tc>
          <w:tcPr>
            <w:tcW w:type="dxa" w:w="2041"/>
            <w:shd w:val="clear" w:color="auto" w:fill="1F3864"/>
          </w:tcPr>
          <w:p>
            <w:pPr>
              <w:spacing w:after="0"/>
            </w:pPr>
            <w:r/>
            <w:r>
              <w:rPr>
                <w:b/>
                <w:i w:val="0"/>
                <w:color w:val="FFFFFF"/>
              </w:rPr>
              <w:t>Name</w:t>
            </w:r>
          </w:p>
        </w:tc>
        <w:tc>
          <w:tcPr>
            <w:tcW w:type="dxa" w:w="1928"/>
            <w:shd w:val="clear" w:color="auto" w:fill="1F3864"/>
          </w:tcPr>
          <w:p>
            <w:pPr>
              <w:spacing w:after="0"/>
            </w:pPr>
            <w:r/>
            <w:r>
              <w:rPr>
                <w:b/>
                <w:i w:val="0"/>
                <w:color w:val="FFFFFF"/>
              </w:rPr>
              <w:t>Designation</w:t>
            </w:r>
          </w:p>
        </w:tc>
        <w:tc>
          <w:tcPr>
            <w:tcW w:type="dxa" w:w="1928"/>
            <w:shd w:val="clear" w:color="auto" w:fill="1F3864"/>
          </w:tcPr>
          <w:p>
            <w:pPr>
              <w:spacing w:after="0"/>
            </w:pPr>
            <w:r/>
            <w:r>
              <w:rPr>
                <w:b/>
                <w:i w:val="0"/>
                <w:color w:val="FFFFFF"/>
              </w:rPr>
              <w:t>Signature</w:t>
            </w:r>
          </w:p>
        </w:tc>
        <w:tc>
          <w:tcPr>
            <w:tcW w:type="dxa" w:w="1474"/>
            <w:shd w:val="clear" w:color="auto" w:fill="1F3864"/>
          </w:tcPr>
          <w:p>
            <w:pPr>
              <w:spacing w:after="0"/>
            </w:pPr>
            <w:r/>
            <w:r>
              <w:rPr>
                <w:b/>
                <w:i w:val="0"/>
                <w:color w:val="FFFFFF"/>
              </w:rPr>
              <w:t>Date</w:t>
            </w:r>
          </w:p>
        </w:tc>
      </w:tr>
      <w:tr>
        <w:tc>
          <w:tcPr>
            <w:tcW w:type="dxa" w:w="680"/>
          </w:tcPr>
          <w:p>
            <w:pPr>
              <w:spacing w:after="0"/>
              <w:jc w:val="center"/>
            </w:pPr>
            <w:r/>
            <w:r>
              <w:rPr>
                <w:b w:val="0"/>
                <w:i w:val="0"/>
              </w:rPr>
              <w:t>1</w:t>
            </w:r>
          </w:p>
        </w:tc>
        <w:tc>
          <w:tcPr>
            <w:tcW w:type="dxa" w:w="1587"/>
          </w:tcPr>
          <w:p>
            <w:pPr>
              <w:spacing w:after="0"/>
            </w:pPr>
            <w:r/>
            <w:r>
              <w:rPr>
                <w:b w:val="0"/>
                <w:i w:val="0"/>
              </w:rPr>
              <w:t>Prepared by</w:t>
            </w:r>
          </w:p>
        </w:tc>
        <w:tc>
          <w:tcPr>
            <w:tcW w:type="dxa" w:w="2041"/>
          </w:tcPr>
          <w:p>
            <w:pPr>
              <w:spacing w:after="0"/>
            </w:pPr>
            <w:r/>
            <w:r>
              <w:rPr>
                <w:b w:val="0"/>
                <w:i w:val="0"/>
              </w:rPr>
            </w:r>
          </w:p>
        </w:tc>
        <w:tc>
          <w:tcPr>
            <w:tcW w:type="dxa" w:w="1928"/>
          </w:tcPr>
          <w:p>
            <w:pPr>
              <w:spacing w:after="0"/>
            </w:pPr>
            <w:r/>
            <w:r>
              <w:rPr>
                <w:b w:val="0"/>
                <w:i w:val="0"/>
              </w:rPr>
            </w:r>
          </w:p>
        </w:tc>
        <w:tc>
          <w:tcPr>
            <w:tcW w:type="dxa" w:w="1928"/>
          </w:tcPr>
          <w:p>
            <w:pPr>
              <w:spacing w:after="0"/>
            </w:pPr>
            <w:r/>
            <w:r>
              <w:rPr>
                <w:b w:val="0"/>
                <w:i w:val="0"/>
              </w:rPr>
            </w:r>
          </w:p>
        </w:tc>
        <w:tc>
          <w:tcPr>
            <w:tcW w:type="dxa" w:w="1474"/>
          </w:tcPr>
          <w:p>
            <w:pPr>
              <w:spacing w:after="0"/>
            </w:pPr>
            <w:r/>
            <w:r>
              <w:rPr>
                <w:b w:val="0"/>
                <w:i w:val="0"/>
              </w:rPr>
            </w:r>
          </w:p>
        </w:tc>
      </w:tr>
      <w:tr>
        <w:tc>
          <w:tcPr>
            <w:tcW w:type="dxa" w:w="680"/>
          </w:tcPr>
          <w:p>
            <w:pPr>
              <w:spacing w:after="0"/>
              <w:jc w:val="center"/>
            </w:pPr>
            <w:r/>
            <w:r>
              <w:rPr>
                <w:b w:val="0"/>
                <w:i w:val="0"/>
              </w:rPr>
              <w:t>2</w:t>
            </w:r>
          </w:p>
        </w:tc>
        <w:tc>
          <w:tcPr>
            <w:tcW w:type="dxa" w:w="1587"/>
          </w:tcPr>
          <w:p>
            <w:pPr>
              <w:spacing w:after="0"/>
            </w:pPr>
            <w:r/>
            <w:r>
              <w:rPr>
                <w:b w:val="0"/>
                <w:i w:val="0"/>
              </w:rPr>
              <w:t>Reviewed by</w:t>
            </w:r>
          </w:p>
        </w:tc>
        <w:tc>
          <w:tcPr>
            <w:tcW w:type="dxa" w:w="2041"/>
          </w:tcPr>
          <w:p>
            <w:pPr>
              <w:spacing w:after="0"/>
            </w:pPr>
            <w:r/>
            <w:r>
              <w:rPr>
                <w:b w:val="0"/>
                <w:i w:val="0"/>
              </w:rPr>
            </w:r>
          </w:p>
        </w:tc>
        <w:tc>
          <w:tcPr>
            <w:tcW w:type="dxa" w:w="1928"/>
          </w:tcPr>
          <w:p>
            <w:pPr>
              <w:spacing w:after="0"/>
            </w:pPr>
            <w:r/>
            <w:r>
              <w:rPr>
                <w:b w:val="0"/>
                <w:i w:val="0"/>
              </w:rPr>
            </w:r>
          </w:p>
        </w:tc>
        <w:tc>
          <w:tcPr>
            <w:tcW w:type="dxa" w:w="1928"/>
          </w:tcPr>
          <w:p>
            <w:pPr>
              <w:spacing w:after="0"/>
            </w:pPr>
            <w:r/>
            <w:r>
              <w:rPr>
                <w:b w:val="0"/>
                <w:i w:val="0"/>
              </w:rPr>
            </w:r>
          </w:p>
        </w:tc>
        <w:tc>
          <w:tcPr>
            <w:tcW w:type="dxa" w:w="1474"/>
          </w:tcPr>
          <w:p>
            <w:pPr>
              <w:spacing w:after="0"/>
            </w:pPr>
            <w:r/>
            <w:r>
              <w:rPr>
                <w:b w:val="0"/>
                <w:i w:val="0"/>
              </w:rPr>
            </w:r>
          </w:p>
        </w:tc>
      </w:tr>
      <w:tr>
        <w:tc>
          <w:tcPr>
            <w:tcW w:type="dxa" w:w="680"/>
          </w:tcPr>
          <w:p>
            <w:pPr>
              <w:spacing w:after="0"/>
              <w:jc w:val="center"/>
            </w:pPr>
            <w:r/>
            <w:r>
              <w:rPr>
                <w:b w:val="0"/>
                <w:i w:val="0"/>
              </w:rPr>
              <w:t>3</w:t>
            </w:r>
          </w:p>
        </w:tc>
        <w:tc>
          <w:tcPr>
            <w:tcW w:type="dxa" w:w="1587"/>
          </w:tcPr>
          <w:p>
            <w:pPr>
              <w:spacing w:after="0"/>
            </w:pPr>
            <w:r/>
            <w:r>
              <w:rPr>
                <w:b w:val="0"/>
                <w:i w:val="0"/>
              </w:rPr>
              <w:t>Approved by</w:t>
            </w:r>
          </w:p>
        </w:tc>
        <w:tc>
          <w:tcPr>
            <w:tcW w:type="dxa" w:w="2041"/>
          </w:tcPr>
          <w:p>
            <w:pPr>
              <w:spacing w:after="0"/>
            </w:pPr>
            <w:r/>
            <w:r>
              <w:rPr>
                <w:b w:val="0"/>
                <w:i w:val="0"/>
              </w:rPr>
            </w:r>
          </w:p>
        </w:tc>
        <w:tc>
          <w:tcPr>
            <w:tcW w:type="dxa" w:w="1928"/>
          </w:tcPr>
          <w:p>
            <w:pPr>
              <w:spacing w:after="0"/>
            </w:pPr>
            <w:r/>
            <w:r>
              <w:rPr>
                <w:b w:val="0"/>
                <w:i w:val="0"/>
              </w:rPr>
            </w:r>
          </w:p>
        </w:tc>
        <w:tc>
          <w:tcPr>
            <w:tcW w:type="dxa" w:w="1928"/>
          </w:tcPr>
          <w:p>
            <w:pPr>
              <w:spacing w:after="0"/>
            </w:pPr>
            <w:r/>
            <w:r>
              <w:rPr>
                <w:b w:val="0"/>
                <w:i w:val="0"/>
              </w:rPr>
            </w:r>
          </w:p>
        </w:tc>
        <w:tc>
          <w:tcPr>
            <w:tcW w:type="dxa" w:w="1474"/>
          </w:tcPr>
          <w:p>
            <w:pPr>
              <w:spacing w:after="0"/>
            </w:pPr>
            <w:r/>
            <w:r>
              <w:rPr>
                <w:b w:val="0"/>
                <w:i w:val="0"/>
              </w:rPr>
            </w:r>
          </w:p>
        </w:tc>
      </w:tr>
    </w:tbl>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Inventech Info Solutions Pvt. Ltd. | IIS-POL-IR-01 | Internal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C00000"/>
        <w:sz w:val="16"/>
      </w:rPr>
      <w:t>DRAFT – for management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