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left"/>
      </w:pPr>
      <w:r>
        <w:rPr>
          <w:rFonts w:ascii="Calibri" w:hAnsi="Calibri"/>
          <w:b/>
          <w:color w:val="003366"/>
          <w:sz w:val="22"/>
        </w:rPr>
        <w:t>GOVERNMENT OF KARNATAKA / KEONICS</w:t>
        <w:br/>
      </w:r>
      <w:r>
        <w:rPr>
          <w:rFonts w:ascii="Calibri" w:hAnsi="Calibri"/>
          <w:b/>
          <w:color w:val="0F2240"/>
          <w:sz w:val="44"/>
        </w:rPr>
        <w:t>Information Security &amp; Access Control Evidences</w:t>
      </w:r>
    </w:p>
    <w:p>
      <w:pPr>
        <w:spacing w:before="40" w:after="240"/>
      </w:pPr>
      <w:r>
        <w:rPr>
          <w:rFonts w:ascii="Calibri" w:hAnsi="Calibri"/>
          <w:b/>
          <w:color w:val="006699"/>
          <w:sz w:val="26"/>
        </w:rPr>
        <w:t xml:space="preserve">Target Application: </w:t>
      </w:r>
      <w:r>
        <w:rPr>
          <w:rFonts w:ascii="Calibri" w:hAnsi="Calibri"/>
          <w:b/>
          <w:color w:val="B4281E"/>
          <w:sz w:val="28"/>
        </w:rPr>
        <w:t>Examination Management Portal</w:t>
        <w:br/>
      </w:r>
      <w:r>
        <w:rPr>
          <w:rFonts w:ascii="Calibri" w:hAnsi="Calibri"/>
          <w:i/>
          <w:color w:val="5A5A5A"/>
          <w:sz w:val="20"/>
        </w:rPr>
        <w:t>Cross-Reference Application: BDA RTI Management Portal  |  Audit Scope: HDFC Section 3 Identity &amp; Access Management Review</w:t>
      </w:r>
    </w:p>
    <w:tbl>
      <w:tblPr>
        <w:tblW w:type="auto" w:w="0"/>
        <w:jc w:val="center"/>
        <w:tblLayout w:type="fixed"/>
        <w:tblLook w:firstColumn="1" w:firstRow="1" w:lastColumn="0" w:lastRow="0" w:noHBand="0" w:noVBand="1" w:val="04A0"/>
      </w:tblPr>
      <w:tblGrid>
        <w:gridCol w:w="5112"/>
        <w:gridCol w:w="5112"/>
      </w:tblGrid>
      <w:tr>
        <w:tc>
          <w:tcPr>
            <w:tcW w:type="dxa" w:w="3168"/>
            <w:shd w:fill="F0F4F8"/>
            <w:tcMar>
              <w:top w:w="50" w:type="dxa"/>
              <w:bottom w:w="50" w:type="dxa"/>
              <w:left w:w="100" w:type="dxa"/>
              <w:right w:w="100" w:type="dxa"/>
            </w:tcMar>
          </w:tcPr>
          <w:p>
            <w:r>
              <w:rPr>
                <w:rFonts w:ascii="Calibri" w:hAnsi="Calibri"/>
                <w:b/>
                <w:color w:val="1E293B"/>
                <w:sz w:val="19"/>
              </w:rPr>
              <w:t>Application Name</w:t>
            </w:r>
          </w:p>
        </w:tc>
        <w:tc>
          <w:tcPr>
            <w:tcW w:type="dxa" w:w="6912"/>
            <w:shd w:fill="FFFFFF"/>
            <w:tcMar>
              <w:top w:w="50" w:type="dxa"/>
              <w:bottom w:w="50" w:type="dxa"/>
              <w:left w:w="100" w:type="dxa"/>
              <w:right w:w="100" w:type="dxa"/>
            </w:tcMar>
          </w:tcPr>
          <w:p>
            <w:r>
              <w:rPr>
                <w:rFonts w:ascii="Calibri" w:hAnsi="Calibri"/>
                <w:color w:val="334155"/>
                <w:sz w:val="19"/>
              </w:rPr>
              <w:t>Examination Management Portal (KEONICS / Government of Karnataka)</w:t>
            </w:r>
          </w:p>
        </w:tc>
      </w:tr>
      <w:tr>
        <w:tc>
          <w:tcPr>
            <w:tcW w:type="dxa" w:w="3168"/>
            <w:shd w:fill="F0F4F8"/>
            <w:tcMar>
              <w:top w:w="50" w:type="dxa"/>
              <w:bottom w:w="50" w:type="dxa"/>
              <w:left w:w="100" w:type="dxa"/>
              <w:right w:w="100" w:type="dxa"/>
            </w:tcMar>
          </w:tcPr>
          <w:p>
            <w:r>
              <w:rPr>
                <w:rFonts w:ascii="Calibri" w:hAnsi="Calibri"/>
                <w:b/>
                <w:color w:val="1E293B"/>
                <w:sz w:val="19"/>
              </w:rPr>
              <w:t>Companion System</w:t>
            </w:r>
          </w:p>
        </w:tc>
        <w:tc>
          <w:tcPr>
            <w:tcW w:type="dxa" w:w="6912"/>
            <w:shd w:fill="FFFFFF"/>
            <w:tcMar>
              <w:top w:w="50" w:type="dxa"/>
              <w:bottom w:w="50" w:type="dxa"/>
              <w:left w:w="100" w:type="dxa"/>
              <w:right w:w="100" w:type="dxa"/>
            </w:tcMar>
          </w:tcPr>
          <w:p>
            <w:r>
              <w:rPr>
                <w:rFonts w:ascii="Calibri" w:hAnsi="Calibri"/>
                <w:color w:val="334155"/>
                <w:sz w:val="19"/>
              </w:rPr>
              <w:t>BDA RTI Management Portal (Bangalore Development Authority)</w:t>
            </w:r>
          </w:p>
        </w:tc>
      </w:tr>
      <w:tr>
        <w:tc>
          <w:tcPr>
            <w:tcW w:type="dxa" w:w="3168"/>
            <w:shd w:fill="F0F4F8"/>
            <w:tcMar>
              <w:top w:w="50" w:type="dxa"/>
              <w:bottom w:w="50" w:type="dxa"/>
              <w:left w:w="100" w:type="dxa"/>
              <w:right w:w="100" w:type="dxa"/>
            </w:tcMar>
          </w:tcPr>
          <w:p>
            <w:r>
              <w:rPr>
                <w:rFonts w:ascii="Calibri" w:hAnsi="Calibri"/>
                <w:b/>
                <w:color w:val="1E293B"/>
                <w:sz w:val="19"/>
              </w:rPr>
              <w:t>Audit Standard</w:t>
            </w:r>
          </w:p>
        </w:tc>
        <w:tc>
          <w:tcPr>
            <w:tcW w:type="dxa" w:w="6912"/>
            <w:shd w:fill="FFFFFF"/>
            <w:tcMar>
              <w:top w:w="50" w:type="dxa"/>
              <w:bottom w:w="50" w:type="dxa"/>
              <w:left w:w="100" w:type="dxa"/>
              <w:right w:w="100" w:type="dxa"/>
            </w:tcMar>
          </w:tcPr>
          <w:p>
            <w:r>
              <w:rPr>
                <w:rFonts w:ascii="Calibri" w:hAnsi="Calibri"/>
                <w:color w:val="334155"/>
                <w:sz w:val="19"/>
              </w:rPr>
              <w:t>HDFC Information Security Review — Section 3: User Access &amp; Identity Controls</w:t>
            </w:r>
          </w:p>
        </w:tc>
      </w:tr>
      <w:tr>
        <w:tc>
          <w:tcPr>
            <w:tcW w:type="dxa" w:w="3168"/>
            <w:shd w:fill="F0F4F8"/>
            <w:tcMar>
              <w:top w:w="50" w:type="dxa"/>
              <w:bottom w:w="50" w:type="dxa"/>
              <w:left w:w="100" w:type="dxa"/>
              <w:right w:w="100" w:type="dxa"/>
            </w:tcMar>
          </w:tcPr>
          <w:p>
            <w:r>
              <w:rPr>
                <w:rFonts w:ascii="Calibri" w:hAnsi="Calibri"/>
                <w:b/>
                <w:color w:val="1E293B"/>
                <w:sz w:val="19"/>
              </w:rPr>
              <w:t>Technology Stack</w:t>
            </w:r>
          </w:p>
        </w:tc>
        <w:tc>
          <w:tcPr>
            <w:tcW w:type="dxa" w:w="6912"/>
            <w:shd w:fill="FFFFFF"/>
            <w:tcMar>
              <w:top w:w="50" w:type="dxa"/>
              <w:bottom w:w="50" w:type="dxa"/>
              <w:left w:w="100" w:type="dxa"/>
              <w:right w:w="100" w:type="dxa"/>
            </w:tcMar>
          </w:tcPr>
          <w:p>
            <w:r>
              <w:rPr>
                <w:rFonts w:ascii="Calibri" w:hAnsi="Calibri"/>
                <w:color w:val="334155"/>
                <w:sz w:val="19"/>
              </w:rPr>
              <w:t>React 19 Frontend, Spring Boot REST API, MySQL 8.x Database, MinIO Object Storage, Redis</w:t>
            </w:r>
          </w:p>
        </w:tc>
      </w:tr>
    </w:tbl>
    <w:p>
      <w:pPr>
        <w:spacing w:after="120"/>
      </w:pPr>
    </w:p>
    <w:p>
      <w:pPr>
        <w:spacing w:before="200" w:after="80"/>
      </w:pPr>
      <w:r>
        <w:rPr>
          <w:rFonts w:ascii="Calibri" w:hAnsi="Calibri"/>
          <w:b/>
          <w:color w:val="003366"/>
          <w:sz w:val="26"/>
        </w:rPr>
        <w:t>1. Audit Evidence Summary &amp; Compliance Matrix</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864"/>
            <w:tcMar>
              <w:top w:w="70" w:type="dxa"/>
              <w:bottom w:w="70" w:type="dxa"/>
              <w:left w:w="80" w:type="dxa"/>
              <w:right w:w="80" w:type="dxa"/>
            </w:tcMar>
            <w:shd w:fill="003366"/>
          </w:tcPr>
          <w:p>
            <w:pPr>
              <w:spacing w:before="40" w:after="40"/>
            </w:pPr>
            <w:r>
              <w:rPr>
                <w:rFonts w:ascii="Calibri" w:hAnsi="Calibri"/>
                <w:b/>
                <w:color w:val="FFFFFF"/>
                <w:sz w:val="18"/>
              </w:rPr>
              <w:t>Sl. No.</w:t>
            </w:r>
          </w:p>
        </w:tc>
        <w:tc>
          <w:tcPr>
            <w:tcW w:type="dxa" w:w="2592"/>
            <w:tcMar>
              <w:top w:w="70" w:type="dxa"/>
              <w:bottom w:w="70" w:type="dxa"/>
              <w:left w:w="80" w:type="dxa"/>
              <w:right w:w="80" w:type="dxa"/>
            </w:tcMar>
            <w:shd w:fill="003366"/>
          </w:tcPr>
          <w:p>
            <w:pPr>
              <w:spacing w:before="40" w:after="40"/>
            </w:pPr>
            <w:r>
              <w:rPr>
                <w:rFonts w:ascii="Calibri" w:hAnsi="Calibri"/>
                <w:b/>
                <w:color w:val="FFFFFF"/>
                <w:sz w:val="18"/>
              </w:rPr>
              <w:t>Audit Evidence Item</w:t>
            </w:r>
          </w:p>
        </w:tc>
        <w:tc>
          <w:tcPr>
            <w:tcW w:type="dxa" w:w="2160"/>
            <w:tcMar>
              <w:top w:w="70" w:type="dxa"/>
              <w:bottom w:w="70" w:type="dxa"/>
              <w:left w:w="80" w:type="dxa"/>
              <w:right w:w="80" w:type="dxa"/>
            </w:tcMar>
            <w:shd w:fill="003366"/>
          </w:tcPr>
          <w:p>
            <w:pPr>
              <w:spacing w:before="40" w:after="40"/>
            </w:pPr>
            <w:r>
              <w:rPr>
                <w:rFonts w:ascii="Calibri" w:hAnsi="Calibri"/>
                <w:b/>
                <w:color w:val="FFFFFF"/>
                <w:sz w:val="18"/>
              </w:rPr>
              <w:t>Application Name</w:t>
            </w:r>
          </w:p>
        </w:tc>
        <w:tc>
          <w:tcPr>
            <w:tcW w:type="dxa" w:w="1872"/>
            <w:tcMar>
              <w:top w:w="70" w:type="dxa"/>
              <w:bottom w:w="70" w:type="dxa"/>
              <w:left w:w="80" w:type="dxa"/>
              <w:right w:w="80" w:type="dxa"/>
            </w:tcMar>
            <w:shd w:fill="003366"/>
          </w:tcPr>
          <w:p>
            <w:pPr>
              <w:spacing w:before="40" w:after="40"/>
            </w:pPr>
            <w:r>
              <w:rPr>
                <w:rFonts w:ascii="Calibri" w:hAnsi="Calibri"/>
                <w:b/>
                <w:color w:val="FFFFFF"/>
                <w:sz w:val="18"/>
              </w:rPr>
              <w:t>Status / Response</w:t>
            </w:r>
          </w:p>
        </w:tc>
        <w:tc>
          <w:tcPr>
            <w:tcW w:type="dxa" w:w="2592"/>
            <w:tcMar>
              <w:top w:w="70" w:type="dxa"/>
              <w:bottom w:w="70" w:type="dxa"/>
              <w:left w:w="80" w:type="dxa"/>
              <w:right w:w="80" w:type="dxa"/>
            </w:tcMar>
            <w:shd w:fill="003366"/>
          </w:tcPr>
          <w:p>
            <w:pPr>
              <w:spacing w:before="40" w:after="40"/>
            </w:pPr>
            <w:r>
              <w:rPr>
                <w:rFonts w:ascii="Calibri" w:hAnsi="Calibri"/>
                <w:b/>
                <w:color w:val="FFFFFF"/>
                <w:sz w:val="18"/>
              </w:rPr>
              <w:t>Screenshot / Evidence Ref</w:t>
            </w:r>
          </w:p>
        </w:tc>
      </w:tr>
      <w:tr>
        <w:tc>
          <w:tcPr>
            <w:tcW w:type="dxa" w:w="864"/>
            <w:tcMar>
              <w:top w:w="70" w:type="dxa"/>
              <w:bottom w:w="70" w:type="dxa"/>
              <w:left w:w="80" w:type="dxa"/>
              <w:right w:w="80" w:type="dxa"/>
            </w:tcMar>
            <w:shd w:fill="F8FAFC"/>
          </w:tcPr>
          <w:p>
            <w:pPr>
              <w:spacing w:before="40" w:after="40"/>
            </w:pPr>
            <w:r>
              <w:rPr>
                <w:rFonts w:ascii="Calibri" w:hAnsi="Calibri"/>
                <w:color w:val="1E293B"/>
                <w:sz w:val="17"/>
              </w:rPr>
              <w:t>1</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New user onboarding</w:t>
            </w:r>
          </w:p>
        </w:tc>
        <w:tc>
          <w:tcPr>
            <w:tcW w:type="dxa" w:w="2160"/>
            <w:tcMar>
              <w:top w:w="70" w:type="dxa"/>
              <w:bottom w:w="70" w:type="dxa"/>
              <w:left w:w="80" w:type="dxa"/>
              <w:right w:w="80" w:type="dxa"/>
            </w:tcMar>
            <w:shd w:fill="F8FAFC"/>
          </w:tcPr>
          <w:p>
            <w:pPr>
              <w:spacing w:before="40" w:after="40"/>
            </w:pPr>
            <w:r>
              <w:rPr>
                <w:rFonts w:ascii="Calibri" w:hAnsi="Calibri"/>
                <w:color w:val="1E293B"/>
                <w:sz w:val="17"/>
              </w:rPr>
              <w:t>Examination Management Portal</w:t>
            </w:r>
          </w:p>
        </w:tc>
        <w:tc>
          <w:tcPr>
            <w:tcW w:type="dxa" w:w="1872"/>
            <w:tcMar>
              <w:top w:w="70" w:type="dxa"/>
              <w:bottom w:w="70" w:type="dxa"/>
              <w:left w:w="80" w:type="dxa"/>
              <w:right w:w="80" w:type="dxa"/>
            </w:tcMar>
            <w:shd w:fill="F8FAFC"/>
          </w:tcPr>
          <w:p>
            <w:pPr>
              <w:spacing w:before="40" w:after="40"/>
            </w:pPr>
            <w:r>
              <w:rPr>
                <w:rFonts w:ascii="Calibri" w:hAnsi="Calibri"/>
                <w:b/>
                <w:color w:val="107832"/>
                <w:sz w:val="17"/>
              </w:rPr>
              <w:t>Available</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Figure 1: Persons Management &amp; Figure 2: Roles</w:t>
            </w:r>
          </w:p>
        </w:tc>
      </w:tr>
      <w:tr>
        <w:tc>
          <w:tcPr>
            <w:tcW w:type="dxa" w:w="864"/>
            <w:tcMar>
              <w:top w:w="70" w:type="dxa"/>
              <w:bottom w:w="70" w:type="dxa"/>
              <w:left w:w="80" w:type="dxa"/>
              <w:right w:w="80" w:type="dxa"/>
            </w:tcMar>
            <w:shd w:fill="FFFFFF"/>
          </w:tcPr>
          <w:p>
            <w:pPr>
              <w:spacing w:before="40" w:after="40"/>
            </w:pPr>
            <w:r>
              <w:rPr>
                <w:rFonts w:ascii="Calibri" w:hAnsi="Calibri"/>
                <w:color w:val="1E293B"/>
                <w:sz w:val="17"/>
              </w:rPr>
              <w:t>2</w:t>
            </w:r>
          </w:p>
        </w:tc>
        <w:tc>
          <w:tcPr>
            <w:tcW w:type="dxa" w:w="2592"/>
            <w:tcMar>
              <w:top w:w="70" w:type="dxa"/>
              <w:bottom w:w="70" w:type="dxa"/>
              <w:left w:w="80" w:type="dxa"/>
              <w:right w:w="80" w:type="dxa"/>
            </w:tcMar>
            <w:shd w:fill="FFFFFF"/>
          </w:tcPr>
          <w:p>
            <w:pPr>
              <w:spacing w:before="40" w:after="40"/>
            </w:pPr>
            <w:r>
              <w:rPr>
                <w:rFonts w:ascii="Calibri" w:hAnsi="Calibri"/>
                <w:color w:val="1E293B"/>
                <w:sz w:val="17"/>
              </w:rPr>
              <w:t>User deprovisioning</w:t>
            </w:r>
          </w:p>
        </w:tc>
        <w:tc>
          <w:tcPr>
            <w:tcW w:type="dxa" w:w="2160"/>
            <w:tcMar>
              <w:top w:w="70" w:type="dxa"/>
              <w:bottom w:w="70" w:type="dxa"/>
              <w:left w:w="80" w:type="dxa"/>
              <w:right w:w="80" w:type="dxa"/>
            </w:tcMar>
            <w:shd w:fill="FFFFFF"/>
          </w:tcPr>
          <w:p>
            <w:pPr>
              <w:spacing w:before="40" w:after="40"/>
            </w:pPr>
            <w:r>
              <w:rPr>
                <w:rFonts w:ascii="Calibri" w:hAnsi="Calibri"/>
                <w:color w:val="1E293B"/>
                <w:sz w:val="17"/>
              </w:rPr>
              <w:t>Examination Management Portal</w:t>
            </w:r>
          </w:p>
        </w:tc>
        <w:tc>
          <w:tcPr>
            <w:tcW w:type="dxa" w:w="1872"/>
            <w:tcMar>
              <w:top w:w="70" w:type="dxa"/>
              <w:bottom w:w="70" w:type="dxa"/>
              <w:left w:w="80" w:type="dxa"/>
              <w:right w:w="80" w:type="dxa"/>
            </w:tcMar>
            <w:shd w:fill="FFFFFF"/>
          </w:tcPr>
          <w:p>
            <w:pPr>
              <w:spacing w:before="40" w:after="40"/>
            </w:pPr>
            <w:r>
              <w:rPr>
                <w:rFonts w:ascii="Calibri" w:hAnsi="Calibri"/>
                <w:b/>
                <w:color w:val="107832"/>
                <w:sz w:val="17"/>
              </w:rPr>
              <w:t>Available</w:t>
            </w:r>
          </w:p>
        </w:tc>
        <w:tc>
          <w:tcPr>
            <w:tcW w:type="dxa" w:w="2592"/>
            <w:tcMar>
              <w:top w:w="70" w:type="dxa"/>
              <w:bottom w:w="70" w:type="dxa"/>
              <w:left w:w="80" w:type="dxa"/>
              <w:right w:w="80" w:type="dxa"/>
            </w:tcMar>
            <w:shd w:fill="FFFFFF"/>
          </w:tcPr>
          <w:p>
            <w:pPr>
              <w:spacing w:before="40" w:after="40"/>
            </w:pPr>
            <w:r>
              <w:rPr>
                <w:rFonts w:ascii="Calibri" w:hAnsi="Calibri"/>
                <w:color w:val="1E293B"/>
                <w:sz w:val="17"/>
              </w:rPr>
              <w:t>Figure 3: Post &amp; Designation Unmapping</w:t>
            </w:r>
          </w:p>
        </w:tc>
      </w:tr>
      <w:tr>
        <w:tc>
          <w:tcPr>
            <w:tcW w:type="dxa" w:w="864"/>
            <w:tcMar>
              <w:top w:w="70" w:type="dxa"/>
              <w:bottom w:w="70" w:type="dxa"/>
              <w:left w:w="80" w:type="dxa"/>
              <w:right w:w="80" w:type="dxa"/>
            </w:tcMar>
            <w:shd w:fill="F8FAFC"/>
          </w:tcPr>
          <w:p>
            <w:pPr>
              <w:spacing w:before="40" w:after="40"/>
            </w:pPr>
            <w:r>
              <w:rPr>
                <w:rFonts w:ascii="Calibri" w:hAnsi="Calibri"/>
                <w:color w:val="1E293B"/>
                <w:sz w:val="17"/>
              </w:rPr>
              <w:t>3</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Privilege access review</w:t>
            </w:r>
          </w:p>
        </w:tc>
        <w:tc>
          <w:tcPr>
            <w:tcW w:type="dxa" w:w="2160"/>
            <w:tcMar>
              <w:top w:w="70" w:type="dxa"/>
              <w:bottom w:w="70" w:type="dxa"/>
              <w:left w:w="80" w:type="dxa"/>
              <w:right w:w="80" w:type="dxa"/>
            </w:tcMar>
            <w:shd w:fill="F8FAFC"/>
          </w:tcPr>
          <w:p>
            <w:pPr>
              <w:spacing w:before="40" w:after="40"/>
            </w:pPr>
            <w:r>
              <w:rPr>
                <w:rFonts w:ascii="Calibri" w:hAnsi="Calibri"/>
                <w:color w:val="1E293B"/>
                <w:sz w:val="17"/>
              </w:rPr>
              <w:t>Examination Management Portal</w:t>
            </w:r>
          </w:p>
        </w:tc>
        <w:tc>
          <w:tcPr>
            <w:tcW w:type="dxa" w:w="1872"/>
            <w:tcMar>
              <w:top w:w="70" w:type="dxa"/>
              <w:bottom w:w="70" w:type="dxa"/>
              <w:left w:w="80" w:type="dxa"/>
              <w:right w:w="80" w:type="dxa"/>
            </w:tcMar>
            <w:shd w:fill="F8FAFC"/>
          </w:tcPr>
          <w:p>
            <w:pPr>
              <w:spacing w:before="40" w:after="40"/>
            </w:pPr>
            <w:r>
              <w:rPr>
                <w:rFonts w:ascii="Calibri" w:hAnsi="Calibri"/>
                <w:b/>
                <w:color w:val="107832"/>
                <w:sz w:val="17"/>
              </w:rPr>
              <w:t>Available</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Figure 4: Role-Permissions Matrix (30+ Controls)</w:t>
            </w:r>
          </w:p>
        </w:tc>
      </w:tr>
      <w:tr>
        <w:tc>
          <w:tcPr>
            <w:tcW w:type="dxa" w:w="864"/>
            <w:tcMar>
              <w:top w:w="70" w:type="dxa"/>
              <w:bottom w:w="70" w:type="dxa"/>
              <w:left w:w="80" w:type="dxa"/>
              <w:right w:w="80" w:type="dxa"/>
            </w:tcMar>
            <w:shd w:fill="FFFFFF"/>
          </w:tcPr>
          <w:p>
            <w:pPr>
              <w:spacing w:before="40" w:after="40"/>
            </w:pPr>
            <w:r>
              <w:rPr>
                <w:rFonts w:ascii="Calibri" w:hAnsi="Calibri"/>
                <w:color w:val="1E293B"/>
                <w:sz w:val="17"/>
              </w:rPr>
              <w:t>4</w:t>
            </w:r>
          </w:p>
        </w:tc>
        <w:tc>
          <w:tcPr>
            <w:tcW w:type="dxa" w:w="2592"/>
            <w:tcMar>
              <w:top w:w="70" w:type="dxa"/>
              <w:bottom w:w="70" w:type="dxa"/>
              <w:left w:w="80" w:type="dxa"/>
              <w:right w:w="80" w:type="dxa"/>
            </w:tcMar>
            <w:shd w:fill="FFFFFF"/>
          </w:tcPr>
          <w:p>
            <w:pPr>
              <w:spacing w:before="40" w:after="40"/>
            </w:pPr>
            <w:r>
              <w:rPr>
                <w:rFonts w:ascii="Calibri" w:hAnsi="Calibri"/>
                <w:color w:val="1E293B"/>
                <w:sz w:val="17"/>
              </w:rPr>
              <w:t>Third-party user access review</w:t>
            </w:r>
          </w:p>
        </w:tc>
        <w:tc>
          <w:tcPr>
            <w:tcW w:type="dxa" w:w="2160"/>
            <w:tcMar>
              <w:top w:w="70" w:type="dxa"/>
              <w:bottom w:w="70" w:type="dxa"/>
              <w:left w:w="80" w:type="dxa"/>
              <w:right w:w="80" w:type="dxa"/>
            </w:tcMar>
            <w:shd w:fill="FFFFFF"/>
          </w:tcPr>
          <w:p>
            <w:pPr>
              <w:spacing w:before="40" w:after="40"/>
            </w:pPr>
            <w:r>
              <w:rPr>
                <w:rFonts w:ascii="Calibri" w:hAnsi="Calibri"/>
                <w:color w:val="1E293B"/>
                <w:sz w:val="17"/>
              </w:rPr>
              <w:t>Examination Management Portal</w:t>
            </w:r>
          </w:p>
        </w:tc>
        <w:tc>
          <w:tcPr>
            <w:tcW w:type="dxa" w:w="1872"/>
            <w:tcMar>
              <w:top w:w="70" w:type="dxa"/>
              <w:bottom w:w="70" w:type="dxa"/>
              <w:left w:w="80" w:type="dxa"/>
              <w:right w:w="80" w:type="dxa"/>
            </w:tcMar>
            <w:shd w:fill="FFFFFF"/>
          </w:tcPr>
          <w:p>
            <w:pPr>
              <w:spacing w:before="40" w:after="40"/>
            </w:pPr>
            <w:r>
              <w:rPr>
                <w:rFonts w:ascii="Calibri" w:hAnsi="Calibri"/>
                <w:i/>
                <w:color w:val="646464"/>
                <w:sz w:val="17"/>
              </w:rPr>
              <w:t>Not applicable</w:t>
            </w:r>
          </w:p>
        </w:tc>
        <w:tc>
          <w:tcPr>
            <w:tcW w:type="dxa" w:w="2592"/>
            <w:tcMar>
              <w:top w:w="70" w:type="dxa"/>
              <w:bottom w:w="70" w:type="dxa"/>
              <w:left w:w="80" w:type="dxa"/>
              <w:right w:w="80" w:type="dxa"/>
            </w:tcMar>
            <w:shd w:fill="FFFFFF"/>
          </w:tcPr>
          <w:p>
            <w:pPr>
              <w:spacing w:before="40" w:after="40"/>
            </w:pPr>
            <w:r>
              <w:rPr>
                <w:rFonts w:ascii="Calibri" w:hAnsi="Calibri"/>
                <w:color w:val="1E293B"/>
                <w:sz w:val="17"/>
              </w:rPr>
              <w:t>Zero vendor direct access; isolated API integration</w:t>
            </w:r>
          </w:p>
        </w:tc>
      </w:tr>
      <w:tr>
        <w:tc>
          <w:tcPr>
            <w:tcW w:type="dxa" w:w="864"/>
            <w:tcMar>
              <w:top w:w="70" w:type="dxa"/>
              <w:bottom w:w="70" w:type="dxa"/>
              <w:left w:w="80" w:type="dxa"/>
              <w:right w:w="80" w:type="dxa"/>
            </w:tcMar>
            <w:shd w:fill="F8FAFC"/>
          </w:tcPr>
          <w:p>
            <w:pPr>
              <w:spacing w:before="40" w:after="40"/>
            </w:pPr>
            <w:r>
              <w:rPr>
                <w:rFonts w:ascii="Calibri" w:hAnsi="Calibri"/>
                <w:color w:val="1E293B"/>
                <w:sz w:val="17"/>
              </w:rPr>
              <w:t>5</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Password policy settings (AD / IAM)</w:t>
            </w:r>
          </w:p>
        </w:tc>
        <w:tc>
          <w:tcPr>
            <w:tcW w:type="dxa" w:w="2160"/>
            <w:tcMar>
              <w:top w:w="70" w:type="dxa"/>
              <w:bottom w:w="70" w:type="dxa"/>
              <w:left w:w="80" w:type="dxa"/>
              <w:right w:w="80" w:type="dxa"/>
            </w:tcMar>
            <w:shd w:fill="F8FAFC"/>
          </w:tcPr>
          <w:p>
            <w:pPr>
              <w:spacing w:before="40" w:after="40"/>
            </w:pPr>
            <w:r>
              <w:rPr>
                <w:rFonts w:ascii="Calibri" w:hAnsi="Calibri"/>
                <w:color w:val="1E293B"/>
                <w:sz w:val="17"/>
              </w:rPr>
              <w:t>Examination Management Portal</w:t>
            </w:r>
          </w:p>
        </w:tc>
        <w:tc>
          <w:tcPr>
            <w:tcW w:type="dxa" w:w="1872"/>
            <w:tcMar>
              <w:top w:w="70" w:type="dxa"/>
              <w:bottom w:w="70" w:type="dxa"/>
              <w:left w:w="80" w:type="dxa"/>
              <w:right w:w="80" w:type="dxa"/>
            </w:tcMar>
            <w:shd w:fill="F8FAFC"/>
          </w:tcPr>
          <w:p>
            <w:pPr>
              <w:spacing w:before="40" w:after="40"/>
            </w:pPr>
            <w:r>
              <w:rPr>
                <w:rFonts w:ascii="Calibri" w:hAnsi="Calibri"/>
                <w:b/>
                <w:color w:val="107832"/>
                <w:sz w:val="17"/>
              </w:rPr>
              <w:t>Available</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Figure 5: Staff Login &amp; Complexity / Lockout Specs</w:t>
            </w:r>
          </w:p>
        </w:tc>
      </w:tr>
      <w:tr>
        <w:tc>
          <w:tcPr>
            <w:tcW w:type="dxa" w:w="864"/>
            <w:tcMar>
              <w:top w:w="70" w:type="dxa"/>
              <w:bottom w:w="70" w:type="dxa"/>
              <w:left w:w="80" w:type="dxa"/>
              <w:right w:w="80" w:type="dxa"/>
            </w:tcMar>
            <w:shd w:fill="FFFFFF"/>
          </w:tcPr>
          <w:p>
            <w:pPr>
              <w:spacing w:before="40" w:after="40"/>
            </w:pPr>
            <w:r>
              <w:rPr>
                <w:rFonts w:ascii="Calibri" w:hAnsi="Calibri"/>
                <w:color w:val="1E293B"/>
                <w:sz w:val="17"/>
              </w:rPr>
              <w:t>6</w:t>
            </w:r>
          </w:p>
        </w:tc>
        <w:tc>
          <w:tcPr>
            <w:tcW w:type="dxa" w:w="2592"/>
            <w:tcMar>
              <w:top w:w="70" w:type="dxa"/>
              <w:bottom w:w="70" w:type="dxa"/>
              <w:left w:w="80" w:type="dxa"/>
              <w:right w:w="80" w:type="dxa"/>
            </w:tcMar>
            <w:shd w:fill="FFFFFF"/>
          </w:tcPr>
          <w:p>
            <w:pPr>
              <w:spacing w:before="40" w:after="40"/>
            </w:pPr>
            <w:r>
              <w:rPr>
                <w:rFonts w:ascii="Calibri" w:hAnsi="Calibri"/>
                <w:color w:val="1E293B"/>
                <w:sz w:val="17"/>
              </w:rPr>
              <w:t>Password change / forgot password screen</w:t>
            </w:r>
          </w:p>
        </w:tc>
        <w:tc>
          <w:tcPr>
            <w:tcW w:type="dxa" w:w="2160"/>
            <w:tcMar>
              <w:top w:w="70" w:type="dxa"/>
              <w:bottom w:w="70" w:type="dxa"/>
              <w:left w:w="80" w:type="dxa"/>
              <w:right w:w="80" w:type="dxa"/>
            </w:tcMar>
            <w:shd w:fill="FFFFFF"/>
          </w:tcPr>
          <w:p>
            <w:pPr>
              <w:spacing w:before="40" w:after="40"/>
            </w:pPr>
            <w:r>
              <w:rPr>
                <w:rFonts w:ascii="Calibri" w:hAnsi="Calibri"/>
                <w:color w:val="1E293B"/>
                <w:sz w:val="17"/>
              </w:rPr>
              <w:t>Examination Management Portal</w:t>
            </w:r>
          </w:p>
        </w:tc>
        <w:tc>
          <w:tcPr>
            <w:tcW w:type="dxa" w:w="1872"/>
            <w:tcMar>
              <w:top w:w="70" w:type="dxa"/>
              <w:bottom w:w="70" w:type="dxa"/>
              <w:left w:w="80" w:type="dxa"/>
              <w:right w:w="80" w:type="dxa"/>
            </w:tcMar>
            <w:shd w:fill="FFFFFF"/>
          </w:tcPr>
          <w:p>
            <w:pPr>
              <w:spacing w:before="40" w:after="40"/>
            </w:pPr>
            <w:r>
              <w:rPr>
                <w:rFonts w:ascii="Calibri" w:hAnsi="Calibri"/>
                <w:b/>
                <w:color w:val="107832"/>
                <w:sz w:val="17"/>
              </w:rPr>
              <w:t>Available</w:t>
            </w:r>
          </w:p>
        </w:tc>
        <w:tc>
          <w:tcPr>
            <w:tcW w:type="dxa" w:w="2592"/>
            <w:tcMar>
              <w:top w:w="70" w:type="dxa"/>
              <w:bottom w:w="70" w:type="dxa"/>
              <w:left w:w="80" w:type="dxa"/>
              <w:right w:w="80" w:type="dxa"/>
            </w:tcMar>
            <w:shd w:fill="FFFFFF"/>
          </w:tcPr>
          <w:p>
            <w:pPr>
              <w:spacing w:before="40" w:after="40"/>
            </w:pPr>
            <w:r>
              <w:rPr>
                <w:rFonts w:ascii="Calibri" w:hAnsi="Calibri"/>
                <w:color w:val="1E293B"/>
                <w:sz w:val="17"/>
              </w:rPr>
              <w:t>Figure 6: Candidate OTP &amp; Figure 7: Forgot Password</w:t>
            </w:r>
          </w:p>
        </w:tc>
      </w:tr>
      <w:tr>
        <w:tc>
          <w:tcPr>
            <w:tcW w:type="dxa" w:w="864"/>
            <w:tcMar>
              <w:top w:w="70" w:type="dxa"/>
              <w:bottom w:w="70" w:type="dxa"/>
              <w:left w:w="80" w:type="dxa"/>
              <w:right w:w="80" w:type="dxa"/>
            </w:tcMar>
            <w:shd w:fill="F8FAFC"/>
          </w:tcPr>
          <w:p>
            <w:pPr>
              <w:spacing w:before="40" w:after="40"/>
            </w:pPr>
            <w:r>
              <w:rPr>
                <w:rFonts w:ascii="Calibri" w:hAnsi="Calibri"/>
                <w:color w:val="1E293B"/>
                <w:sz w:val="17"/>
              </w:rPr>
              <w:t>7</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Password expiry &amp; change notification</w:t>
            </w:r>
          </w:p>
        </w:tc>
        <w:tc>
          <w:tcPr>
            <w:tcW w:type="dxa" w:w="2160"/>
            <w:tcMar>
              <w:top w:w="70" w:type="dxa"/>
              <w:bottom w:w="70" w:type="dxa"/>
              <w:left w:w="80" w:type="dxa"/>
              <w:right w:w="80" w:type="dxa"/>
            </w:tcMar>
            <w:shd w:fill="F8FAFC"/>
          </w:tcPr>
          <w:p>
            <w:pPr>
              <w:spacing w:before="40" w:after="40"/>
            </w:pPr>
            <w:r>
              <w:rPr>
                <w:rFonts w:ascii="Calibri" w:hAnsi="Calibri"/>
                <w:color w:val="1E293B"/>
                <w:sz w:val="17"/>
              </w:rPr>
              <w:t>Examination Management Portal</w:t>
            </w:r>
          </w:p>
        </w:tc>
        <w:tc>
          <w:tcPr>
            <w:tcW w:type="dxa" w:w="1872"/>
            <w:tcMar>
              <w:top w:w="70" w:type="dxa"/>
              <w:bottom w:w="70" w:type="dxa"/>
              <w:left w:w="80" w:type="dxa"/>
              <w:right w:w="80" w:type="dxa"/>
            </w:tcMar>
            <w:shd w:fill="F8FAFC"/>
          </w:tcPr>
          <w:p>
            <w:pPr>
              <w:spacing w:before="40" w:after="40"/>
            </w:pPr>
            <w:r>
              <w:rPr>
                <w:rFonts w:ascii="Calibri" w:hAnsi="Calibri"/>
                <w:b/>
                <w:color w:val="107832"/>
                <w:sz w:val="17"/>
              </w:rPr>
              <w:t>Available</w:t>
            </w:r>
          </w:p>
        </w:tc>
        <w:tc>
          <w:tcPr>
            <w:tcW w:type="dxa" w:w="2592"/>
            <w:tcMar>
              <w:top w:w="70" w:type="dxa"/>
              <w:bottom w:w="70" w:type="dxa"/>
              <w:left w:w="80" w:type="dxa"/>
              <w:right w:w="80" w:type="dxa"/>
            </w:tcMar>
            <w:shd w:fill="F8FAFC"/>
          </w:tcPr>
          <w:p>
            <w:pPr>
              <w:spacing w:before="40" w:after="40"/>
            </w:pPr>
            <w:r>
              <w:rPr>
                <w:rFonts w:ascii="Calibri" w:hAnsi="Calibri"/>
                <w:color w:val="1E293B"/>
                <w:sz w:val="17"/>
              </w:rPr>
              <w:t>Automated SMS Gateway alerts (sms_audit table)</w:t>
            </w:r>
          </w:p>
        </w:tc>
      </w:tr>
    </w:tbl>
    <w:p>
      <w:r>
        <w:br w:type="page"/>
      </w:r>
    </w:p>
    <w:p>
      <w:pPr>
        <w:spacing w:before="280" w:after="40"/>
      </w:pPr>
      <w:r>
        <w:rPr>
          <w:rFonts w:ascii="Calibri" w:hAnsi="Calibri"/>
          <w:b/>
          <w:color w:val="003366"/>
          <w:sz w:val="26"/>
        </w:rPr>
        <w:t>2. Evidence 1: New User Onboarding</w:t>
      </w:r>
    </w:p>
    <w:tbl>
      <w:tblPr>
        <w:tblW w:type="auto" w:w="0"/>
        <w:jc w:val="center"/>
        <w:tblLayout w:type="fixed"/>
        <w:tblLook w:firstColumn="1" w:firstRow="1" w:lastColumn="0" w:lastRow="0" w:noHBand="0" w:noVBand="1" w:val="04A0"/>
      </w:tblPr>
      <w:tblGrid>
        <w:gridCol w:w="5112"/>
        <w:gridCol w:w="5112"/>
      </w:tblGrid>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Application Name</w:t>
            </w:r>
          </w:p>
        </w:tc>
        <w:tc>
          <w:tcPr>
            <w:tcW w:type="dxa" w:w="6912"/>
            <w:shd w:fill="FFFFFF"/>
            <w:tcMar>
              <w:top w:w="40" w:type="dxa"/>
              <w:bottom w:w="40" w:type="dxa"/>
              <w:left w:w="80" w:type="dxa"/>
              <w:right w:w="80" w:type="dxa"/>
            </w:tcMar>
          </w:tcPr>
          <w:p>
            <w:pPr>
              <w:spacing w:before="20" w:after="20"/>
            </w:pPr>
            <w:r>
              <w:rPr>
                <w:rFonts w:ascii="Calibri" w:hAnsi="Calibri"/>
                <w:b/>
                <w:color w:val="00508C"/>
                <w:sz w:val="17"/>
              </w:rPr>
              <w:t>Examination Management Portal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Audit Checklist Item</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Sl. No. 1 — Available (screenshot of user creation and role assignment)</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Underlying Database Entities</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users, personal_details, roles, user_roles, posts, post_person_mappings, ctr_user_binding</w:t>
            </w:r>
          </w:p>
        </w:tc>
      </w:tr>
    </w:tbl>
    <w:p>
      <w:pPr>
        <w:spacing w:before="40" w:after="80"/>
      </w:pPr>
      <w:r>
        <w:rPr>
          <w:rFonts w:ascii="Calibri" w:hAnsi="Calibri"/>
          <w:color w:val="28323C"/>
          <w:sz w:val="19"/>
        </w:rPr>
        <w:t>New staff, administrators, and examination centre personnel are provisioned through a centralized administrative console. The system enforces strict onboarding workflows: an administrator creates the staff profile with mandatory fields (employee ID, official email, verified mobile, department, and designation), assigns one or more system roles (Super Admin, Examination Admin, Centre Admin, Invigilator), and maps the user to an administrative post and authorized examination centre.</w:t>
      </w:r>
    </w:p>
    <w:p>
      <w:pPr>
        <w:spacing w:before="120" w:after="40"/>
        <w:jc w:val="center"/>
      </w:pP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ure1_admin_persons.png"/>
                    <pic:cNvPicPr/>
                  </pic:nvPicPr>
                  <pic:blipFill>
                    <a:blip r:embed="rId11"/>
                    <a:stretch>
                      <a:fillRect/>
                    </a:stretch>
                  </pic:blipFill>
                  <pic:spPr>
                    <a:xfrm>
                      <a:off x="0" y="0"/>
                      <a:ext cx="5669280" cy="3543300"/>
                    </a:xfrm>
                    <a:prstGeom prst="rect"/>
                  </pic:spPr>
                </pic:pic>
              </a:graphicData>
            </a:graphic>
          </wp:inline>
        </w:drawing>
      </w:r>
    </w:p>
    <w:p>
      <w:pPr>
        <w:spacing w:before="40" w:after="200"/>
        <w:jc w:val="center"/>
      </w:pPr>
      <w:r>
        <w:rPr>
          <w:rFonts w:ascii="Calibri" w:hAnsi="Calibri"/>
          <w:b/>
          <w:i/>
          <w:color w:val="46505F"/>
          <w:sz w:val="17"/>
        </w:rPr>
        <w:t>Figure 1: Examination Management Portal — Staff User Management &amp; Onboarding Console (/admin/persons)</w:t>
      </w:r>
    </w:p>
    <w:p>
      <w:pPr>
        <w:spacing w:before="120" w:after="40"/>
        <w:jc w:val="center"/>
      </w:pP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figure2_admin_roles.png"/>
                    <pic:cNvPicPr/>
                  </pic:nvPicPr>
                  <pic:blipFill>
                    <a:blip r:embed="rId12"/>
                    <a:stretch>
                      <a:fillRect/>
                    </a:stretch>
                  </pic:blipFill>
                  <pic:spPr>
                    <a:xfrm>
                      <a:off x="0" y="0"/>
                      <a:ext cx="5669280" cy="3543300"/>
                    </a:xfrm>
                    <a:prstGeom prst="rect"/>
                  </pic:spPr>
                </pic:pic>
              </a:graphicData>
            </a:graphic>
          </wp:inline>
        </w:drawing>
      </w:r>
    </w:p>
    <w:p>
      <w:pPr>
        <w:spacing w:before="40" w:after="200"/>
        <w:jc w:val="center"/>
      </w:pPr>
      <w:r>
        <w:rPr>
          <w:rFonts w:ascii="Calibri" w:hAnsi="Calibri"/>
          <w:b/>
          <w:i/>
          <w:color w:val="46505F"/>
          <w:sz w:val="17"/>
        </w:rPr>
        <w:t>Figure 2: Examination Management Portal — Role Assignment &amp; System Scope Configuration (/admin/roles)</w:t>
      </w:r>
    </w:p>
    <w:p>
      <w:pPr>
        <w:spacing w:after="80"/>
      </w:pPr>
    </w:p>
    <w:p>
      <w:pPr>
        <w:spacing w:before="280" w:after="40"/>
      </w:pPr>
      <w:r>
        <w:rPr>
          <w:rFonts w:ascii="Calibri" w:hAnsi="Calibri"/>
          <w:b/>
          <w:color w:val="003366"/>
          <w:sz w:val="26"/>
        </w:rPr>
        <w:t>3. Evidence 2: User Deprovisioning</w:t>
      </w:r>
    </w:p>
    <w:tbl>
      <w:tblPr>
        <w:tblW w:type="auto" w:w="0"/>
        <w:jc w:val="center"/>
        <w:tblLayout w:type="fixed"/>
        <w:tblLook w:firstColumn="1" w:firstRow="1" w:lastColumn="0" w:lastRow="0" w:noHBand="0" w:noVBand="1" w:val="04A0"/>
      </w:tblPr>
      <w:tblGrid>
        <w:gridCol w:w="5112"/>
        <w:gridCol w:w="5112"/>
      </w:tblGrid>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Application Name</w:t>
            </w:r>
          </w:p>
        </w:tc>
        <w:tc>
          <w:tcPr>
            <w:tcW w:type="dxa" w:w="6912"/>
            <w:shd w:fill="FFFFFF"/>
            <w:tcMar>
              <w:top w:w="40" w:type="dxa"/>
              <w:bottom w:w="40" w:type="dxa"/>
              <w:left w:w="80" w:type="dxa"/>
              <w:right w:w="80" w:type="dxa"/>
            </w:tcMar>
          </w:tcPr>
          <w:p>
            <w:pPr>
              <w:spacing w:before="20" w:after="20"/>
            </w:pPr>
            <w:r>
              <w:rPr>
                <w:rFonts w:ascii="Calibri" w:hAnsi="Calibri"/>
                <w:b/>
                <w:color w:val="00508C"/>
                <w:sz w:val="17"/>
              </w:rPr>
              <w:t>Examination Management Portal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Audit Checklist Item</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Sl. No. 2 — Available (screenshot of user deactivation and post unmapping)</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Underlying Database Entities</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users (status=INACTIVE), post_person_mappings (unmap_reason), ctr_user_binding, audit_events</w:t>
            </w:r>
          </w:p>
        </w:tc>
      </w:tr>
    </w:tbl>
    <w:p>
      <w:pPr>
        <w:spacing w:before="40" w:after="80"/>
      </w:pPr>
      <w:r>
        <w:rPr>
          <w:rFonts w:ascii="Calibri" w:hAnsi="Calibri"/>
          <w:color w:val="28323C"/>
          <w:sz w:val="19"/>
        </w:rPr>
        <w:t>When personnel are transferred, retire, or no longer require system access, deprovisioning is executed immediately. Deprovisioning comprises: (1) Setting user status to 'INACTIVE' in the users and personal_details tables (as demonstrated by inactive profile records); (2) Unmapping the person from their administrative post with a recorded reason (unmap_reason in post_person_mappings); (3) Deactivating centre bindings in ctr_user_binding; and (4) Instant blacklisting and eviction of active JWT session tokens from Redis cache. The complete operation is recorded with actor ID, timestamp, and audit trail in audit_events.</w:t>
      </w:r>
    </w:p>
    <w:p>
      <w:pPr>
        <w:spacing w:before="120" w:after="40"/>
        <w:jc w:val="center"/>
      </w:pP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ure3_admin_posts_unmapping.png"/>
                    <pic:cNvPicPr/>
                  </pic:nvPicPr>
                  <pic:blipFill>
                    <a:blip r:embed="rId13"/>
                    <a:stretch>
                      <a:fillRect/>
                    </a:stretch>
                  </pic:blipFill>
                  <pic:spPr>
                    <a:xfrm>
                      <a:off x="0" y="0"/>
                      <a:ext cx="5669280" cy="3543300"/>
                    </a:xfrm>
                    <a:prstGeom prst="rect"/>
                  </pic:spPr>
                </pic:pic>
              </a:graphicData>
            </a:graphic>
          </wp:inline>
        </w:drawing>
      </w:r>
    </w:p>
    <w:p>
      <w:pPr>
        <w:spacing w:before="40" w:after="200"/>
        <w:jc w:val="center"/>
      </w:pPr>
      <w:r>
        <w:rPr>
          <w:rFonts w:ascii="Calibri" w:hAnsi="Calibri"/>
          <w:b/>
          <w:i/>
          <w:color w:val="46505F"/>
          <w:sz w:val="17"/>
        </w:rPr>
        <w:t>Figure 3: Examination Management Portal — Administrative Post Deallocation &amp; Deprovisioning Console (/admin/posts)</w:t>
      </w:r>
    </w:p>
    <w:p>
      <w:pPr>
        <w:spacing w:after="80"/>
      </w:pPr>
    </w:p>
    <w:p>
      <w:pPr>
        <w:spacing w:before="280" w:after="40"/>
      </w:pPr>
      <w:r>
        <w:rPr>
          <w:rFonts w:ascii="Calibri" w:hAnsi="Calibri"/>
          <w:b/>
          <w:color w:val="003366"/>
          <w:sz w:val="26"/>
        </w:rPr>
        <w:t>4. Evidence 3: Privilege Access Review</w:t>
      </w:r>
    </w:p>
    <w:tbl>
      <w:tblPr>
        <w:tblW w:type="auto" w:w="0"/>
        <w:jc w:val="center"/>
        <w:tblLayout w:type="fixed"/>
        <w:tblLook w:firstColumn="1" w:firstRow="1" w:lastColumn="0" w:lastRow="0" w:noHBand="0" w:noVBand="1" w:val="04A0"/>
      </w:tblPr>
      <w:tblGrid>
        <w:gridCol w:w="5112"/>
        <w:gridCol w:w="5112"/>
      </w:tblGrid>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Application Name</w:t>
            </w:r>
          </w:p>
        </w:tc>
        <w:tc>
          <w:tcPr>
            <w:tcW w:type="dxa" w:w="6912"/>
            <w:shd w:fill="FFFFFF"/>
            <w:tcMar>
              <w:top w:w="40" w:type="dxa"/>
              <w:bottom w:w="40" w:type="dxa"/>
              <w:left w:w="80" w:type="dxa"/>
              <w:right w:w="80" w:type="dxa"/>
            </w:tcMar>
          </w:tcPr>
          <w:p>
            <w:pPr>
              <w:spacing w:before="20" w:after="20"/>
            </w:pPr>
            <w:r>
              <w:rPr>
                <w:rFonts w:ascii="Calibri" w:hAnsi="Calibri"/>
                <w:b/>
                <w:color w:val="00508C"/>
                <w:sz w:val="17"/>
              </w:rPr>
              <w:t>Examination Management Portal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Audit Checklist Item</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Sl. No. 3 — Available (Role-Permissions Matrix &amp; Granular Access Control)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Underlying Database Entities</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roles, permissions, role_permissions, audit_events</w:t>
            </w:r>
          </w:p>
        </w:tc>
      </w:tr>
    </w:tbl>
    <w:p>
      <w:pPr>
        <w:spacing w:before="40" w:after="80"/>
      </w:pPr>
      <w:r>
        <w:rPr>
          <w:rFonts w:ascii="Calibri" w:hAnsi="Calibri"/>
          <w:color w:val="28323C"/>
          <w:sz w:val="19"/>
        </w:rPr>
        <w:t>The Examination Management Portal implements granular Role-Based Access Control (RBAC). Over 30 discrete permissions (e.g., PERSON:MANAGE, ROLE:MANAGE, QUESTION:MANAGE, SCHEDULE:MANAGE, OPS:ACTIVATION:MANAGE) are mapped to predefined system roles. Privilege access reviews are performed by reviewing the centralized Role-Permissions matrix, ensuring principle of least privilege. Any alteration to permissions is captured in audit_events for compliance review.</w:t>
      </w:r>
    </w:p>
    <w:p>
      <w:pPr>
        <w:spacing w:before="120" w:after="40"/>
        <w:jc w:val="center"/>
      </w:pP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ure4_admin_role_permissions.png"/>
                    <pic:cNvPicPr/>
                  </pic:nvPicPr>
                  <pic:blipFill>
                    <a:blip r:embed="rId14"/>
                    <a:stretch>
                      <a:fillRect/>
                    </a:stretch>
                  </pic:blipFill>
                  <pic:spPr>
                    <a:xfrm>
                      <a:off x="0" y="0"/>
                      <a:ext cx="5669280" cy="3543300"/>
                    </a:xfrm>
                    <a:prstGeom prst="rect"/>
                  </pic:spPr>
                </pic:pic>
              </a:graphicData>
            </a:graphic>
          </wp:inline>
        </w:drawing>
      </w:r>
    </w:p>
    <w:p>
      <w:pPr>
        <w:spacing w:before="40" w:after="200"/>
        <w:jc w:val="center"/>
      </w:pPr>
      <w:r>
        <w:rPr>
          <w:rFonts w:ascii="Calibri" w:hAnsi="Calibri"/>
          <w:b/>
          <w:i/>
          <w:color w:val="46505F"/>
          <w:sz w:val="17"/>
        </w:rPr>
        <w:t>Figure 4: Examination Management Portal — Granular Role-Permissions Matrix Review (/admin/role-permissions)</w:t>
      </w:r>
    </w:p>
    <w:p>
      <w:pPr>
        <w:spacing w:after="80"/>
      </w:pPr>
    </w:p>
    <w:p>
      <w:pPr>
        <w:spacing w:before="280" w:after="40"/>
      </w:pPr>
      <w:r>
        <w:rPr>
          <w:rFonts w:ascii="Calibri" w:hAnsi="Calibri"/>
          <w:b/>
          <w:color w:val="003366"/>
          <w:sz w:val="26"/>
        </w:rPr>
        <w:t>5. Evidence 4: Third-Party User Access Review</w:t>
      </w:r>
    </w:p>
    <w:tbl>
      <w:tblPr>
        <w:tblW w:type="auto" w:w="0"/>
        <w:jc w:val="center"/>
        <w:tblLayout w:type="fixed"/>
        <w:tblLook w:firstColumn="1" w:firstRow="1" w:lastColumn="0" w:lastRow="0" w:noHBand="0" w:noVBand="1" w:val="04A0"/>
      </w:tblPr>
      <w:tblGrid>
        <w:gridCol w:w="5112"/>
        <w:gridCol w:w="5112"/>
      </w:tblGrid>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Application Name</w:t>
            </w:r>
          </w:p>
        </w:tc>
        <w:tc>
          <w:tcPr>
            <w:tcW w:type="dxa" w:w="6912"/>
            <w:shd w:fill="FFFFFF"/>
            <w:tcMar>
              <w:top w:w="40" w:type="dxa"/>
              <w:bottom w:w="40" w:type="dxa"/>
              <w:left w:w="80" w:type="dxa"/>
              <w:right w:w="80" w:type="dxa"/>
            </w:tcMar>
          </w:tcPr>
          <w:p>
            <w:pPr>
              <w:spacing w:before="20" w:after="20"/>
            </w:pPr>
            <w:r>
              <w:rPr>
                <w:rFonts w:ascii="Calibri" w:hAnsi="Calibri"/>
                <w:b/>
                <w:color w:val="00508C"/>
                <w:sz w:val="17"/>
              </w:rPr>
              <w:t>Examination Management Portal &amp; BDA RTI Portal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Audit Checklist Item</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Sl. No. 4 — Not applicable. Vendors and third parties do not have access to our systems or client applications.</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Underlying Database Entities</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N/A (Architecture isolation policy enforced via network firewall and Spring Security filters)</w:t>
            </w:r>
          </w:p>
        </w:tc>
      </w:tr>
    </w:tbl>
    <w:p>
      <w:pPr>
        <w:spacing w:before="40" w:after="80"/>
      </w:pPr>
      <w:r>
        <w:rPr>
          <w:rFonts w:ascii="Calibri" w:hAnsi="Calibri"/>
          <w:color w:val="28323C"/>
          <w:sz w:val="19"/>
        </w:rPr>
        <w:t>Formal Declaration:</w:t>
      </w:r>
    </w:p>
    <w:p>
      <w:pPr>
        <w:spacing w:before="40" w:after="80"/>
      </w:pPr>
      <w:r>
        <w:rPr>
          <w:rFonts w:ascii="Calibri" w:hAnsi="Calibri"/>
          <w:color w:val="28323C"/>
          <w:sz w:val="19"/>
        </w:rPr>
        <w:t>• Zero External Vendor Accounts: External software vendors, contractors, and third parties do not possess user accounts, credentials, or remote VPN access to the Examination Management Portal or BDA RTI Portal databases.</w:t>
      </w:r>
    </w:p>
    <w:p>
      <w:pPr>
        <w:spacing w:before="40" w:after="80"/>
      </w:pPr>
      <w:r>
        <w:rPr>
          <w:rFonts w:ascii="Calibri" w:hAnsi="Calibri"/>
          <w:color w:val="28323C"/>
          <w:sz w:val="19"/>
        </w:rPr>
        <w:t>• Strict Boundary &amp; API Isolations: External entities (e.g., PayU payment gateway, Karnataka Mobile Seva SMS gateway, and KGID KYE service) communicate exclusively via automated, machine-to-machine HTTPS REST API endpoints secured with client authentication tokens, IP allowlists, and strict timeouts (5s connect / 15s read).</w:t>
      </w:r>
    </w:p>
    <w:p>
      <w:pPr>
        <w:spacing w:before="40" w:after="80"/>
      </w:pPr>
      <w:r>
        <w:rPr>
          <w:rFonts w:ascii="Calibri" w:hAnsi="Calibri"/>
          <w:color w:val="28323C"/>
          <w:sz w:val="19"/>
        </w:rPr>
        <w:t>• Database Protection: Database access is restricted to localhost/private subnet application pools; direct external database connections are disabled.</w:t>
      </w:r>
    </w:p>
    <w:p>
      <w:pPr>
        <w:spacing w:after="80"/>
      </w:pPr>
    </w:p>
    <w:p>
      <w:pPr>
        <w:spacing w:before="280" w:after="40"/>
      </w:pPr>
      <w:r>
        <w:rPr>
          <w:rFonts w:ascii="Calibri" w:hAnsi="Calibri"/>
          <w:b/>
          <w:color w:val="003366"/>
          <w:sz w:val="26"/>
        </w:rPr>
        <w:t>6. Evidence 5: Password Policy Settings (AD / IAM / Portal)</w:t>
      </w:r>
    </w:p>
    <w:tbl>
      <w:tblPr>
        <w:tblW w:type="auto" w:w="0"/>
        <w:jc w:val="center"/>
        <w:tblLayout w:type="fixed"/>
        <w:tblLook w:firstColumn="1" w:firstRow="1" w:lastColumn="0" w:lastRow="0" w:noHBand="0" w:noVBand="1" w:val="04A0"/>
      </w:tblPr>
      <w:tblGrid>
        <w:gridCol w:w="5112"/>
        <w:gridCol w:w="5112"/>
      </w:tblGrid>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Application Name</w:t>
            </w:r>
          </w:p>
        </w:tc>
        <w:tc>
          <w:tcPr>
            <w:tcW w:type="dxa" w:w="6912"/>
            <w:shd w:fill="FFFFFF"/>
            <w:tcMar>
              <w:top w:w="40" w:type="dxa"/>
              <w:bottom w:w="40" w:type="dxa"/>
              <w:left w:w="80" w:type="dxa"/>
              <w:right w:w="80" w:type="dxa"/>
            </w:tcMar>
          </w:tcPr>
          <w:p>
            <w:pPr>
              <w:spacing w:before="20" w:after="20"/>
            </w:pPr>
            <w:r>
              <w:rPr>
                <w:rFonts w:ascii="Calibri" w:hAnsi="Calibri"/>
                <w:b/>
                <w:color w:val="00508C"/>
                <w:sz w:val="17"/>
              </w:rPr>
              <w:t>Examination Management Portal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Audit Checklist Item</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Sl. No. 5 — Available (Examination Portal password and lockout settings)</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Underlying Database Entities</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users (failed_login_attempts, lockout_until), auth_login_captcha, cand_otp_policy, cand_otp_challenge</w:t>
            </w:r>
          </w:p>
        </w:tc>
      </w:tr>
    </w:tbl>
    <w:p>
      <w:pPr>
        <w:spacing w:before="40" w:after="80"/>
      </w:pPr>
      <w:r>
        <w:rPr>
          <w:rFonts w:ascii="Calibri" w:hAnsi="Calibri"/>
          <w:color w:val="28323C"/>
          <w:sz w:val="19"/>
        </w:rPr>
        <w:t>The portal enforces comprehensive password security and brute-force mitigation controls directly in application security configurations:</w:t>
      </w:r>
    </w:p>
    <w:p>
      <w:pPr>
        <w:spacing w:before="40" w:after="80"/>
      </w:pPr>
      <w:r>
        <w:rPr>
          <w:rFonts w:ascii="Calibri" w:hAnsi="Calibri"/>
          <w:color w:val="28323C"/>
          <w:sz w:val="19"/>
        </w:rPr>
        <w:t>• Password Length &amp; Complexity: 10 to 16 characters, requiring at least one uppercase letter, one lowercase letter, one digit, and one special character.</w:t>
      </w:r>
    </w:p>
    <w:p>
      <w:pPr>
        <w:spacing w:before="40" w:after="80"/>
      </w:pPr>
      <w:r>
        <w:rPr>
          <w:rFonts w:ascii="Calibri" w:hAnsi="Calibri"/>
          <w:color w:val="28323C"/>
          <w:sz w:val="19"/>
        </w:rPr>
        <w:t>• Secure Cryptographic Storage: Passwords stored exclusively as BCrypt salted hashes (10-12 work factor rounds). Zero plain-text storage.</w:t>
      </w:r>
    </w:p>
    <w:p>
      <w:pPr>
        <w:spacing w:before="40" w:after="80"/>
      </w:pPr>
      <w:r>
        <w:rPr>
          <w:rFonts w:ascii="Calibri" w:hAnsi="Calibri"/>
          <w:color w:val="28323C"/>
          <w:sz w:val="19"/>
        </w:rPr>
        <w:t>• Account Lockout Threshold: Account locked for 30 minutes after 5 consecutive failed login attempts (tracked in users.failed_login_attempts and users.lockout_until).</w:t>
      </w:r>
    </w:p>
    <w:p>
      <w:pPr>
        <w:spacing w:before="40" w:after="80"/>
      </w:pPr>
      <w:r>
        <w:rPr>
          <w:rFonts w:ascii="Calibri" w:hAnsi="Calibri"/>
          <w:color w:val="28323C"/>
          <w:sz w:val="19"/>
        </w:rPr>
        <w:t>• Cryptographic Captcha: Mandatory challenge-response captcha (auth_login_captcha) on staff login to thwart automated brute-force attacks.</w:t>
      </w:r>
    </w:p>
    <w:p>
      <w:pPr>
        <w:spacing w:before="40" w:after="80"/>
      </w:pPr>
      <w:r>
        <w:rPr>
          <w:rFonts w:ascii="Calibri" w:hAnsi="Calibri"/>
          <w:color w:val="28323C"/>
          <w:sz w:val="19"/>
        </w:rPr>
        <w:t>• Candidate OTP Security: 6-digit numeric OTP sent via SMS, valid for 300 seconds, with lockout after 5 failed attempts (cand_otp_policy).</w:t>
      </w:r>
    </w:p>
    <w:p>
      <w:pPr>
        <w:spacing w:before="120" w:after="40"/>
        <w:jc w:val="center"/>
      </w:pP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ure5_login_page.png"/>
                    <pic:cNvPicPr/>
                  </pic:nvPicPr>
                  <pic:blipFill>
                    <a:blip r:embed="rId15"/>
                    <a:stretch>
                      <a:fillRect/>
                    </a:stretch>
                  </pic:blipFill>
                  <pic:spPr>
                    <a:xfrm>
                      <a:off x="0" y="0"/>
                      <a:ext cx="5669280" cy="3543300"/>
                    </a:xfrm>
                    <a:prstGeom prst="rect"/>
                  </pic:spPr>
                </pic:pic>
              </a:graphicData>
            </a:graphic>
          </wp:inline>
        </w:drawing>
      </w:r>
    </w:p>
    <w:p>
      <w:pPr>
        <w:spacing w:before="40" w:after="200"/>
        <w:jc w:val="center"/>
      </w:pPr>
      <w:r>
        <w:rPr>
          <w:rFonts w:ascii="Calibri" w:hAnsi="Calibri"/>
          <w:b/>
          <w:i/>
          <w:color w:val="46505F"/>
          <w:sz w:val="17"/>
        </w:rPr>
        <w:t>Figure 5: Examination Management Portal — Staff Login Portal with Captcha Protection (/login)</w:t>
      </w:r>
    </w:p>
    <w:p>
      <w:pPr>
        <w:spacing w:before="120" w:after="40"/>
        <w:jc w:val="center"/>
      </w:pP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figure6_candidate_otp.png"/>
                    <pic:cNvPicPr/>
                  </pic:nvPicPr>
                  <pic:blipFill>
                    <a:blip r:embed="rId16"/>
                    <a:stretch>
                      <a:fillRect/>
                    </a:stretch>
                  </pic:blipFill>
                  <pic:spPr>
                    <a:xfrm>
                      <a:off x="0" y="0"/>
                      <a:ext cx="5669280" cy="3543300"/>
                    </a:xfrm>
                    <a:prstGeom prst="rect"/>
                  </pic:spPr>
                </pic:pic>
              </a:graphicData>
            </a:graphic>
          </wp:inline>
        </w:drawing>
      </w:r>
    </w:p>
    <w:p>
      <w:pPr>
        <w:spacing w:before="40" w:after="200"/>
        <w:jc w:val="center"/>
      </w:pPr>
      <w:r>
        <w:rPr>
          <w:rFonts w:ascii="Calibri" w:hAnsi="Calibri"/>
          <w:b/>
          <w:i/>
          <w:color w:val="46505F"/>
          <w:sz w:val="17"/>
        </w:rPr>
        <w:t>Figure 6: Examination Management Portal — Candidate OTP Login &amp; Policy Verification (/candidate/login)</w:t>
      </w:r>
    </w:p>
    <w:p>
      <w:pPr>
        <w:spacing w:after="80"/>
      </w:pPr>
    </w:p>
    <w:p>
      <w:pPr>
        <w:spacing w:before="280" w:after="40"/>
      </w:pPr>
      <w:r>
        <w:rPr>
          <w:rFonts w:ascii="Calibri" w:hAnsi="Calibri"/>
          <w:b/>
          <w:color w:val="003366"/>
          <w:sz w:val="26"/>
        </w:rPr>
        <w:t>7. Evidence 6: Password Change / Forgot Password Screen</w:t>
      </w:r>
    </w:p>
    <w:tbl>
      <w:tblPr>
        <w:tblW w:type="auto" w:w="0"/>
        <w:jc w:val="center"/>
        <w:tblLayout w:type="fixed"/>
        <w:tblLook w:firstColumn="1" w:firstRow="1" w:lastColumn="0" w:lastRow="0" w:noHBand="0" w:noVBand="1" w:val="04A0"/>
      </w:tblPr>
      <w:tblGrid>
        <w:gridCol w:w="5112"/>
        <w:gridCol w:w="5112"/>
      </w:tblGrid>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Application Name</w:t>
            </w:r>
          </w:p>
        </w:tc>
        <w:tc>
          <w:tcPr>
            <w:tcW w:type="dxa" w:w="6912"/>
            <w:shd w:fill="FFFFFF"/>
            <w:tcMar>
              <w:top w:w="40" w:type="dxa"/>
              <w:bottom w:w="40" w:type="dxa"/>
              <w:left w:w="80" w:type="dxa"/>
              <w:right w:w="80" w:type="dxa"/>
            </w:tcMar>
          </w:tcPr>
          <w:p>
            <w:pPr>
              <w:spacing w:before="20" w:after="20"/>
            </w:pPr>
            <w:r>
              <w:rPr>
                <w:rFonts w:ascii="Calibri" w:hAnsi="Calibri"/>
                <w:b/>
                <w:color w:val="00508C"/>
                <w:sz w:val="17"/>
              </w:rPr>
              <w:t>Examination Management Portal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Audit Checklist Item</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Sl. No. 6 — Available (screenshots)</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Underlying Database Entities</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users (change_password_required, last_password_changed_at), auth_login_captcha</w:t>
            </w:r>
          </w:p>
        </w:tc>
      </w:tr>
    </w:tbl>
    <w:p>
      <w:pPr>
        <w:spacing w:before="40" w:after="80"/>
      </w:pPr>
      <w:r>
        <w:rPr>
          <w:rFonts w:ascii="Calibri" w:hAnsi="Calibri"/>
          <w:color w:val="28323C"/>
          <w:sz w:val="19"/>
        </w:rPr>
        <w:t>The portal provides self-service password recovery and mandatory first-time password rotation:</w:t>
      </w:r>
    </w:p>
    <w:p>
      <w:pPr>
        <w:spacing w:before="40" w:after="80"/>
      </w:pPr>
      <w:r>
        <w:rPr>
          <w:rFonts w:ascii="Calibri" w:hAnsi="Calibri"/>
          <w:color w:val="28323C"/>
          <w:sz w:val="19"/>
        </w:rPr>
        <w:t>• Forgot Password Workflow: Multi-step verification requiring registered Login ID/Email, one-time OTP delivered to registered mobile/email, and new password confirmation complying with complexity standards.</w:t>
      </w:r>
    </w:p>
    <w:p>
      <w:pPr>
        <w:spacing w:before="40" w:after="80"/>
      </w:pPr>
      <w:r>
        <w:rPr>
          <w:rFonts w:ascii="Calibri" w:hAnsi="Calibri"/>
          <w:color w:val="28323C"/>
          <w:sz w:val="19"/>
        </w:rPr>
        <w:t>• Mandatory First-Time Password Change: Flag users.change_password_required forces staff to change system-assigned initial passwords before gaining application access.</w:t>
      </w:r>
    </w:p>
    <w:p>
      <w:pPr>
        <w:spacing w:before="40" w:after="80"/>
      </w:pPr>
      <w:r>
        <w:rPr>
          <w:rFonts w:ascii="Calibri" w:hAnsi="Calibri"/>
          <w:color w:val="28323C"/>
          <w:sz w:val="19"/>
        </w:rPr>
        <w:t>• Session Invalidation: Resetting password invalidates all existing sessions, requiring fresh authentication.</w:t>
      </w:r>
    </w:p>
    <w:p>
      <w:pPr>
        <w:spacing w:before="120" w:after="40"/>
        <w:jc w:val="center"/>
      </w:pP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figure7_forgot_password.png"/>
                    <pic:cNvPicPr/>
                  </pic:nvPicPr>
                  <pic:blipFill>
                    <a:blip r:embed="rId17"/>
                    <a:stretch>
                      <a:fillRect/>
                    </a:stretch>
                  </pic:blipFill>
                  <pic:spPr>
                    <a:xfrm>
                      <a:off x="0" y="0"/>
                      <a:ext cx="5669280" cy="3543300"/>
                    </a:xfrm>
                    <a:prstGeom prst="rect"/>
                  </pic:spPr>
                </pic:pic>
              </a:graphicData>
            </a:graphic>
          </wp:inline>
        </w:drawing>
      </w:r>
    </w:p>
    <w:p>
      <w:pPr>
        <w:spacing w:before="40" w:after="200"/>
        <w:jc w:val="center"/>
      </w:pPr>
      <w:r>
        <w:rPr>
          <w:rFonts w:ascii="Calibri" w:hAnsi="Calibri"/>
          <w:b/>
          <w:i/>
          <w:color w:val="46505F"/>
          <w:sz w:val="17"/>
        </w:rPr>
        <w:t>Figure 7: Examination Management Portal — Forgot Password &amp; Two-Step Verification Dialog</w:t>
      </w:r>
    </w:p>
    <w:p>
      <w:pPr>
        <w:spacing w:after="80"/>
      </w:pPr>
    </w:p>
    <w:p>
      <w:pPr>
        <w:spacing w:before="280" w:after="40"/>
      </w:pPr>
      <w:r>
        <w:rPr>
          <w:rFonts w:ascii="Calibri" w:hAnsi="Calibri"/>
          <w:b/>
          <w:color w:val="003366"/>
          <w:sz w:val="26"/>
        </w:rPr>
        <w:t>8. Evidence 7: Reminder for Password Expiry &amp; Change Notification</w:t>
      </w:r>
    </w:p>
    <w:tbl>
      <w:tblPr>
        <w:tblW w:type="auto" w:w="0"/>
        <w:jc w:val="center"/>
        <w:tblLayout w:type="fixed"/>
        <w:tblLook w:firstColumn="1" w:firstRow="1" w:lastColumn="0" w:lastRow="0" w:noHBand="0" w:noVBand="1" w:val="04A0"/>
      </w:tblPr>
      <w:tblGrid>
        <w:gridCol w:w="5112"/>
        <w:gridCol w:w="5112"/>
      </w:tblGrid>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Application Name</w:t>
            </w:r>
          </w:p>
        </w:tc>
        <w:tc>
          <w:tcPr>
            <w:tcW w:type="dxa" w:w="6912"/>
            <w:shd w:fill="FFFFFF"/>
            <w:tcMar>
              <w:top w:w="40" w:type="dxa"/>
              <w:bottom w:w="40" w:type="dxa"/>
              <w:left w:w="80" w:type="dxa"/>
              <w:right w:w="80" w:type="dxa"/>
            </w:tcMar>
          </w:tcPr>
          <w:p>
            <w:pPr>
              <w:spacing w:before="20" w:after="20"/>
            </w:pPr>
            <w:r>
              <w:rPr>
                <w:rFonts w:ascii="Calibri" w:hAnsi="Calibri"/>
                <w:b/>
                <w:color w:val="00508C"/>
                <w:sz w:val="17"/>
              </w:rPr>
              <w:t>Examination Management Portal</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Audit Checklist Item</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Sl. No. 7 — Available (Automated SMS &amp; System Notifications)</w:t>
            </w:r>
          </w:p>
        </w:tc>
      </w:tr>
      <w:tr>
        <w:tc>
          <w:tcPr>
            <w:tcW w:type="dxa" w:w="3168"/>
            <w:shd w:fill="F1F5F9"/>
            <w:tcMar>
              <w:top w:w="40" w:type="dxa"/>
              <w:bottom w:w="40" w:type="dxa"/>
              <w:left w:w="80" w:type="dxa"/>
              <w:right w:w="80" w:type="dxa"/>
            </w:tcMar>
          </w:tcPr>
          <w:p>
            <w:pPr>
              <w:spacing w:before="20" w:after="20"/>
            </w:pPr>
            <w:r>
              <w:rPr>
                <w:rFonts w:ascii="Calibri" w:hAnsi="Calibri"/>
                <w:b/>
                <w:color w:val="1E293B"/>
                <w:sz w:val="17"/>
              </w:rPr>
              <w:t>Underlying Database Entities</w:t>
            </w:r>
          </w:p>
        </w:tc>
        <w:tc>
          <w:tcPr>
            <w:tcW w:type="dxa" w:w="6912"/>
            <w:shd w:fill="FFFFFF"/>
            <w:tcMar>
              <w:top w:w="40" w:type="dxa"/>
              <w:bottom w:w="40" w:type="dxa"/>
              <w:left w:w="80" w:type="dxa"/>
              <w:right w:w="80" w:type="dxa"/>
            </w:tcMar>
          </w:tcPr>
          <w:p>
            <w:pPr>
              <w:spacing w:before="20" w:after="20"/>
            </w:pPr>
            <w:r>
              <w:rPr>
                <w:rFonts w:ascii="Calibri" w:hAnsi="Calibri"/>
                <w:color w:val="0F172A"/>
                <w:sz w:val="17"/>
              </w:rPr>
              <w:t>sms_template, sms_audit, audit_events</w:t>
            </w:r>
          </w:p>
        </w:tc>
      </w:tr>
    </w:tbl>
    <w:p>
      <w:pPr>
        <w:spacing w:before="40" w:after="80"/>
      </w:pPr>
      <w:r>
        <w:rPr>
          <w:rFonts w:ascii="Calibri" w:hAnsi="Calibri"/>
          <w:color w:val="28323C"/>
          <w:sz w:val="19"/>
        </w:rPr>
        <w:t>Password change confirmations, security alerts, and OTP lifecycle events are automatically dispatched to the user's registered mobile number via the Karnataka Mobile Seva SMS gateway.</w:t>
      </w:r>
    </w:p>
    <w:p>
      <w:pPr>
        <w:spacing w:before="40" w:after="80"/>
      </w:pPr>
      <w:r>
        <w:rPr>
          <w:rFonts w:ascii="Calibri" w:hAnsi="Calibri"/>
          <w:color w:val="28323C"/>
          <w:sz w:val="19"/>
        </w:rPr>
        <w:t>• Template Control: DLT-registered templates defined in sms_template table.</w:t>
      </w:r>
    </w:p>
    <w:p>
      <w:pPr>
        <w:spacing w:before="40" w:after="80"/>
      </w:pPr>
      <w:r>
        <w:rPr>
          <w:rFonts w:ascii="Calibri" w:hAnsi="Calibri"/>
          <w:color w:val="28323C"/>
          <w:sz w:val="19"/>
        </w:rPr>
        <w:t>• Audit Log: Every transmitted security notification is permanently logged in sms_audit with timestamp, delivery status, masked mobile number, and gateway response.</w:t>
      </w:r>
    </w:p>
    <w:p>
      <w:pPr>
        <w:spacing w:after="80"/>
      </w:pP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Examination Management Portal — Compliance &amp; Access Control Evidences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CONFIDENTIAL — HDFC SECTION 3 SECURITY AUDIT EVIDENCES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