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510A94" w14:textId="6153CC6E" w:rsidR="00FE6017" w:rsidRDefault="00330617" w:rsidP="00330617">
      <w:pPr>
        <w:pStyle w:val="1"/>
      </w:pPr>
      <w:r>
        <w:rPr>
          <w:rFonts w:hint="eastAsia"/>
        </w:rPr>
        <w:t>麦当劳</w:t>
      </w:r>
    </w:p>
    <w:p w14:paraId="271B9880" w14:textId="2BE4AAB7" w:rsidR="003C0BA4" w:rsidRDefault="00265414" w:rsidP="00265414">
      <w:pPr>
        <w:pStyle w:val="2"/>
      </w:pPr>
      <w:r>
        <w:rPr>
          <w:rFonts w:hint="eastAsia"/>
        </w:rPr>
        <w:t>结论</w:t>
      </w:r>
    </w:p>
    <w:p w14:paraId="7655E7B6" w14:textId="505C51F8" w:rsidR="00BF50F3" w:rsidRDefault="00BF50F3" w:rsidP="00BF50F3">
      <w:r>
        <w:t>麦当劳的长期投资价值建立在全球品牌、标准化经营体系、物业控制权与加盟网络形成的持续现金创造能力之上。过去十年，再特许经营推动利润来源向租金和特许权使用费集中，提高了总部盈利的稳定性；但公司仍承担较大的物业、租赁和融资责任，高利润率需要结合资本占用与持续再投资共同评价。当前增长呈现明确的分部差异：美国承担成熟利润基础，IOM是重要的增量利润来源，IDL推动网络扩张，但其较低的收入留存比例使开店增长不能等比例转化为公司利润。随着前期提价动力减弱，未来增长将更依赖既有门店客流恢复、新店销售成熟以及总部费用效率改善；持续分红与适度缩股能够增强每股回报，回购力度则受到资本开支和债务负担约束。</w:t>
      </w:r>
    </w:p>
    <w:p w14:paraId="13327008" w14:textId="3ABD3EF6" w:rsidR="00265414" w:rsidRDefault="00BF50F3">
      <w:r>
        <w:t>未来几年的核心问题，是麦当劳能否在实际餐饮需求增长偏弱、人工成本持续上升及牛肉供给恢复缓慢的环境下，将价值策略和NEXT投入转化为加盟商可验证的现金回报。加盟商的投资意愿与执行能力决定了新品、促销和门店升级能否形成持续销售增长，因此管理层的效率与利润率目标应随实际兑现逐步计入估值。在本研究最终确认的基准情景下，按当前约1,665亿美元市值计算，两年及五年年化股东回报率分别约为9.1%和9.4%；若要求年化回报达到15%，五年期目标买入市值约为1,315亿美元，较当前低约21%。据此，麦当劳具备长期配置价值，但当前价格提供的预期回报尚未达到本研究要求，更适宜等待估值回落，并持续验证客流、加盟商净投资回报和自由现金流的改善。</w:t>
      </w:r>
    </w:p>
    <w:p w14:paraId="61FCF816" w14:textId="77777777" w:rsidR="00265414" w:rsidRDefault="00265414"/>
    <w:p w14:paraId="301D0386" w14:textId="7D1F0456" w:rsidR="003C0BA4" w:rsidRDefault="00F4478F" w:rsidP="00490028">
      <w:pPr>
        <w:pStyle w:val="2"/>
      </w:pPr>
      <w:r>
        <w:rPr>
          <w:rFonts w:hint="eastAsia"/>
        </w:rPr>
        <w:t>历史沿革</w:t>
      </w:r>
    </w:p>
    <w:p w14:paraId="34015AFD" w14:textId="29F65BB8" w:rsidR="00490028" w:rsidRPr="00490028" w:rsidRDefault="00490028" w:rsidP="00490028">
      <w:pPr>
        <w:pStyle w:val="a9"/>
        <w:numPr>
          <w:ilvl w:val="0"/>
          <w:numId w:val="1"/>
        </w:numPr>
        <w:rPr>
          <w:b/>
          <w:bCs/>
        </w:rPr>
      </w:pPr>
      <w:r w:rsidRPr="00490028">
        <w:rPr>
          <w:b/>
          <w:bCs/>
        </w:rPr>
        <w:t>发展阶段</w:t>
      </w:r>
    </w:p>
    <w:p w14:paraId="0013D82B" w14:textId="5D3FB62C" w:rsidR="00490028" w:rsidRDefault="00490028" w:rsidP="00490028">
      <w:r w:rsidRPr="005E5839">
        <w:rPr>
          <w:b/>
          <w:bCs/>
        </w:rPr>
        <w:t>创业与特许经营体系建立（1948–1961）</w:t>
      </w:r>
      <w:r>
        <w:t>。 1948 年，麦当劳兄弟推出 Speedee Service System（精简菜单、15 美分汉堡），并开始授予特许经营。</w:t>
      </w:r>
    </w:p>
    <w:p w14:paraId="254228C2" w14:textId="353E265D" w:rsidR="00490028" w:rsidRDefault="00490028" w:rsidP="00490028">
      <w:r w:rsidRPr="00B90C37">
        <w:rPr>
          <w:b/>
          <w:bCs/>
        </w:rPr>
        <w:t>国际化与规模扩张（1967–2014）</w:t>
      </w:r>
      <w:r>
        <w:t>。 1967 年在加拿大与波多黎各开业，开启海外扩张；1985 年起为道琼斯工业平均指数成分股。</w:t>
      </w:r>
    </w:p>
    <w:p w14:paraId="21B65E05" w14:textId="096D8EDE" w:rsidR="00490028" w:rsidRDefault="00490028" w:rsidP="00490028">
      <w:r w:rsidRPr="003C188F">
        <w:rPr>
          <w:b/>
          <w:bCs/>
        </w:rPr>
        <w:t>轻资产化转型（2015–2019）</w:t>
      </w:r>
      <w:r>
        <w:t>。 2015 年 3 月 Easterbrook 出任 CEO，公司推行再特许经营并压缩 G&amp;A；2017 年推出 Velocity Growth Plan；2019 年 1 月 1 日起重划报告分部。</w:t>
      </w:r>
    </w:p>
    <w:p w14:paraId="2D12935E" w14:textId="0DAA8D78" w:rsidR="00490028" w:rsidRDefault="00490028" w:rsidP="00490028">
      <w:r w:rsidRPr="0066026C">
        <w:rPr>
          <w:b/>
          <w:bCs/>
        </w:rPr>
        <w:t>疫情冲击与战略重置（2020–2022）</w:t>
      </w:r>
      <w:r>
        <w:t>。 2020 年 3 月暂停回购，2020 年末公布 Accelerating the Arches 战略，2021 年第三季度恢复回购，2022 年退出俄罗斯。</w:t>
      </w:r>
    </w:p>
    <w:p w14:paraId="3CAC39C4" w14:textId="77777777" w:rsidR="00490028" w:rsidRDefault="00490028" w:rsidP="00490028">
      <w:r w:rsidRPr="004075B2">
        <w:rPr>
          <w:b/>
          <w:bCs/>
        </w:rPr>
        <w:t>开店加速与组织改造（2023 至今）</w:t>
      </w:r>
      <w:r>
        <w:t>。 2023 年初战略增设 Restaurant Development 支柱，并启动内部运营模式改造 Accelerating the Organization；2024 年增持中国业务股权至 48%；2025 年开业 2,276 家；2026 年 9 月公布 McDonald's &gt; NEXT。</w:t>
      </w:r>
    </w:p>
    <w:p w14:paraId="3630EC05" w14:textId="77777777" w:rsidR="00490028" w:rsidRDefault="00490028" w:rsidP="00490028"/>
    <w:p w14:paraId="2BB0E935" w14:textId="1DC6DD50" w:rsidR="00B21AE8" w:rsidRPr="00B21AE8" w:rsidRDefault="00B21AE8" w:rsidP="00B21AE8">
      <w:pPr>
        <w:pStyle w:val="a9"/>
        <w:numPr>
          <w:ilvl w:val="0"/>
          <w:numId w:val="1"/>
        </w:numPr>
        <w:rPr>
          <w:b/>
          <w:bCs/>
        </w:rPr>
      </w:pPr>
      <w:r w:rsidRPr="00B21AE8">
        <w:rPr>
          <w:b/>
          <w:bCs/>
        </w:rPr>
        <w:t>2015–2026 年关键事件</w:t>
      </w:r>
    </w:p>
    <w:p w14:paraId="45EBDA13" w14:textId="71250CDE" w:rsidR="00B21AE8" w:rsidRPr="00B21AE8" w:rsidRDefault="00B21AE8" w:rsidP="00B21AE8">
      <w:pPr>
        <w:rPr>
          <w:b/>
          <w:bCs/>
        </w:rPr>
      </w:pPr>
      <w:r w:rsidRPr="00B21AE8">
        <w:rPr>
          <w:b/>
          <w:bCs/>
        </w:rPr>
        <w:lastRenderedPageBreak/>
        <w:t>2015–2018：再特许经营与成本压缩。</w:t>
      </w:r>
    </w:p>
    <w:p w14:paraId="0419F082" w14:textId="77777777" w:rsidR="00B21AE8" w:rsidRDefault="00B21AE8" w:rsidP="00B21AE8">
      <w:pPr>
        <w:pStyle w:val="a9"/>
        <w:numPr>
          <w:ilvl w:val="0"/>
          <w:numId w:val="2"/>
        </w:numPr>
      </w:pPr>
      <w:r>
        <w:t>2015 年 3 月 Easterbrook 出任总裁兼 CEO，公司设定到 2018 年末将净 G&amp;A 较 2015 年初 26 亿美元基数削减 5 亿美元。</w:t>
      </w:r>
    </w:p>
    <w:p w14:paraId="722C6A63" w14:textId="77777777" w:rsidR="00B21AE8" w:rsidRDefault="00B21AE8" w:rsidP="00B21AE8">
      <w:pPr>
        <w:pStyle w:val="a9"/>
        <w:numPr>
          <w:ilvl w:val="0"/>
          <w:numId w:val="2"/>
        </w:numPr>
      </w:pPr>
      <w:r>
        <w:t>再特许经营目标为 4,000 家，预计提前一年于 2017 年底完成；长期目标为约 95% 特许经营。2018 年已约 93% 特许经营。</w:t>
      </w:r>
    </w:p>
    <w:p w14:paraId="2CFA5CE4" w14:textId="77777777" w:rsidR="00B21AE8" w:rsidRDefault="00B21AE8" w:rsidP="00B21AE8">
      <w:pPr>
        <w:pStyle w:val="a9"/>
        <w:numPr>
          <w:ilvl w:val="0"/>
          <w:numId w:val="2"/>
        </w:numPr>
      </w:pPr>
      <w:r>
        <w:t>2017 年出售中国内地与香港业务给 CITIC 联营体，保留 20% 股权，确认约 8.5 亿美元税前收益，同年另有约 7 亿美元《减税与就业法案》净税务成本。</w:t>
      </w:r>
    </w:p>
    <w:p w14:paraId="1BCA5326" w14:textId="77777777" w:rsidR="00B21AE8" w:rsidRDefault="00B21AE8" w:rsidP="00B21AE8">
      <w:pPr>
        <w:pStyle w:val="a9"/>
        <w:numPr>
          <w:ilvl w:val="0"/>
          <w:numId w:val="2"/>
        </w:numPr>
      </w:pPr>
      <w:r>
        <w:t>2017 年推出 Velocity Growth Plan，官方材料将数字化、外送与美国"未来门店"列为重点。</w:t>
      </w:r>
    </w:p>
    <w:p w14:paraId="4B2B4937" w14:textId="77777777" w:rsidR="00B21AE8" w:rsidRDefault="00B21AE8" w:rsidP="00B21AE8"/>
    <w:p w14:paraId="03439FEC" w14:textId="19B9BC80" w:rsidR="00B21AE8" w:rsidRPr="0042776B" w:rsidRDefault="00B21AE8" w:rsidP="00B21AE8">
      <w:pPr>
        <w:rPr>
          <w:b/>
          <w:bCs/>
        </w:rPr>
      </w:pPr>
      <w:r w:rsidRPr="0042776B">
        <w:rPr>
          <w:b/>
          <w:bCs/>
        </w:rPr>
        <w:t>2019：分部重划、技术并购与 CEO 更替。</w:t>
      </w:r>
    </w:p>
    <w:p w14:paraId="545ADE2D" w14:textId="77777777" w:rsidR="00B21AE8" w:rsidRDefault="00B21AE8" w:rsidP="0042776B">
      <w:pPr>
        <w:pStyle w:val="a9"/>
        <w:numPr>
          <w:ilvl w:val="0"/>
          <w:numId w:val="3"/>
        </w:numPr>
      </w:pPr>
      <w:r>
        <w:t>1 月 1 日起，报告分部由"美国／国际领先市场／高增长市场／基础市场及公司"改为"美国／国际运营市场（IOM）／国际发展授权市场及公司（IDL）"，分部口径自此出现断点。</w:t>
      </w:r>
    </w:p>
    <w:p w14:paraId="3D0A3C17" w14:textId="77777777" w:rsidR="00B21AE8" w:rsidRDefault="00B21AE8" w:rsidP="0042776B">
      <w:pPr>
        <w:pStyle w:val="a9"/>
        <w:numPr>
          <w:ilvl w:val="0"/>
          <w:numId w:val="3"/>
        </w:numPr>
      </w:pPr>
      <w:r>
        <w:t>4 月和 10 月分别收购 Dynamic Yield（决策技术）与 Apprente（语音技术）。</w:t>
      </w:r>
    </w:p>
    <w:p w14:paraId="4CB023BC" w14:textId="77777777" w:rsidR="00B21AE8" w:rsidRDefault="00B21AE8" w:rsidP="0042776B">
      <w:pPr>
        <w:pStyle w:val="a9"/>
        <w:numPr>
          <w:ilvl w:val="0"/>
          <w:numId w:val="3"/>
        </w:numPr>
      </w:pPr>
      <w:r>
        <w:t>11 月 Chris Kempczinski 出任总裁兼 CEO。</w:t>
      </w:r>
    </w:p>
    <w:p w14:paraId="6B9E294B" w14:textId="77777777" w:rsidR="00B21AE8" w:rsidRDefault="00B21AE8" w:rsidP="00B21AE8"/>
    <w:p w14:paraId="61D5BC57" w14:textId="7939D346" w:rsidR="00B21AE8" w:rsidRPr="00F33240" w:rsidRDefault="00B21AE8" w:rsidP="00B21AE8">
      <w:pPr>
        <w:rPr>
          <w:b/>
          <w:bCs/>
        </w:rPr>
      </w:pPr>
      <w:r w:rsidRPr="00F33240">
        <w:rPr>
          <w:b/>
          <w:bCs/>
        </w:rPr>
        <w:t>2020–2022：疫情、战略重置与资产处置。</w:t>
      </w:r>
    </w:p>
    <w:p w14:paraId="5FA752E2" w14:textId="77777777" w:rsidR="00B21AE8" w:rsidRDefault="00B21AE8" w:rsidP="00F33240">
      <w:pPr>
        <w:pStyle w:val="a9"/>
        <w:numPr>
          <w:ilvl w:val="0"/>
          <w:numId w:val="4"/>
        </w:numPr>
      </w:pPr>
      <w:r>
        <w:t>2020 年 3 月初主动暂停回购；2020 年末公布 Accelerating the Arches；2021 年第三季度恢复回购。</w:t>
      </w:r>
    </w:p>
    <w:p w14:paraId="31239CEA" w14:textId="77777777" w:rsidR="00B21AE8" w:rsidRDefault="00B21AE8" w:rsidP="00F33240">
      <w:pPr>
        <w:pStyle w:val="a9"/>
        <w:numPr>
          <w:ilvl w:val="0"/>
          <w:numId w:val="4"/>
        </w:numPr>
      </w:pPr>
      <w:r>
        <w:t>2021 年出售 McDonald's Japan 股份，持股降至 35%，确认约 3.39 亿美元战略收益；出售 McD Tech Labs（即 Apprente），确认约 5,400 万美元战略费用。</w:t>
      </w:r>
    </w:p>
    <w:p w14:paraId="3E479DAA" w14:textId="77777777" w:rsidR="00B21AE8" w:rsidRDefault="00B21AE8" w:rsidP="00F33240">
      <w:pPr>
        <w:pStyle w:val="a9"/>
        <w:numPr>
          <w:ilvl w:val="0"/>
          <w:numId w:val="4"/>
        </w:numPr>
      </w:pPr>
      <w:r>
        <w:t>2022 年第一季度临时关闭俄罗斯与乌克兰餐厅，第二季度完成俄罗斯业务出售，确认约 12.81 亿美元税前费用；出售 Dynamic Yield 取得约 2.71 亿美元收益；法国税务审计和解（净利润调节项约 5.37 亿美元）。</w:t>
      </w:r>
    </w:p>
    <w:p w14:paraId="5C7868BC" w14:textId="77777777" w:rsidR="00B21AE8" w:rsidRDefault="00B21AE8" w:rsidP="00B21AE8"/>
    <w:p w14:paraId="2868384B" w14:textId="513E6587" w:rsidR="00B21AE8" w:rsidRPr="00F33240" w:rsidRDefault="00B21AE8" w:rsidP="00B21AE8">
      <w:pPr>
        <w:rPr>
          <w:b/>
          <w:bCs/>
        </w:rPr>
      </w:pPr>
      <w:r w:rsidRPr="00F33240">
        <w:rPr>
          <w:b/>
          <w:bCs/>
        </w:rPr>
        <w:t>2023–2025：开店加速与中国业务增持。</w:t>
      </w:r>
    </w:p>
    <w:p w14:paraId="41445370" w14:textId="77777777" w:rsidR="00B21AE8" w:rsidRDefault="00B21AE8" w:rsidP="00F33240">
      <w:pPr>
        <w:pStyle w:val="a9"/>
        <w:numPr>
          <w:ilvl w:val="0"/>
          <w:numId w:val="5"/>
        </w:numPr>
      </w:pPr>
      <w:r>
        <w:t>2023 年初战略增设 Restaurant Development 支柱，并启动 Accelerating the Organization，2023 年相关费用 2.9 亿美元。</w:t>
      </w:r>
    </w:p>
    <w:p w14:paraId="7541C062" w14:textId="77777777" w:rsidR="00B21AE8" w:rsidRDefault="00B21AE8" w:rsidP="00F33240">
      <w:pPr>
        <w:pStyle w:val="a9"/>
        <w:numPr>
          <w:ilvl w:val="0"/>
          <w:numId w:val="5"/>
        </w:numPr>
      </w:pPr>
      <w:r>
        <w:t>2023 年 12 月公司战略文件提出 2027 年底系统餐厅达 5 万家，此后年报重申。</w:t>
      </w:r>
    </w:p>
    <w:p w14:paraId="767E617D" w14:textId="77777777" w:rsidR="00B21AE8" w:rsidRDefault="00B21AE8" w:rsidP="00F33240">
      <w:pPr>
        <w:pStyle w:val="a9"/>
        <w:numPr>
          <w:ilvl w:val="0"/>
          <w:numId w:val="5"/>
        </w:numPr>
      </w:pPr>
      <w:r>
        <w:t>2024 年 1 月 30 日以约 18 亿美元自 Carlyle 增持中国内地、香港、澳门业务合伙企业 28% 权益，持股由 20% 升至 48%，CITIC 联营体维持 52% 控股，继续按权益法核算。</w:t>
      </w:r>
    </w:p>
    <w:p w14:paraId="696EFC35" w14:textId="77777777" w:rsidR="00B21AE8" w:rsidRDefault="00B21AE8" w:rsidP="00F33240">
      <w:pPr>
        <w:pStyle w:val="a9"/>
        <w:numPr>
          <w:ilvl w:val="0"/>
          <w:numId w:val="5"/>
        </w:numPr>
      </w:pPr>
      <w:r>
        <w:t>2024 年出售韩国业务、收购以色列业务，年报只披露相关费用、处置收益与减值合计约 7,000 万美元税前费用，交易对价与结构未披露。</w:t>
      </w:r>
    </w:p>
    <w:p w14:paraId="61CE6A93" w14:textId="77777777" w:rsidR="00B21AE8" w:rsidRDefault="00B21AE8" w:rsidP="00F33240">
      <w:pPr>
        <w:pStyle w:val="a9"/>
        <w:numPr>
          <w:ilvl w:val="0"/>
          <w:numId w:val="5"/>
        </w:numPr>
      </w:pPr>
      <w:r>
        <w:t>2025 年开业 2,276 家、关闭 396 家，年末系统餐厅 45,356 家。</w:t>
      </w:r>
    </w:p>
    <w:p w14:paraId="46DB63C4" w14:textId="77777777" w:rsidR="00B21AE8" w:rsidRDefault="00B21AE8" w:rsidP="00B21AE8"/>
    <w:p w14:paraId="358923CA" w14:textId="111880F1" w:rsidR="00B21AE8" w:rsidRPr="00A43F12" w:rsidRDefault="00B21AE8" w:rsidP="00B21AE8">
      <w:pPr>
        <w:rPr>
          <w:b/>
          <w:bCs/>
        </w:rPr>
      </w:pPr>
      <w:r w:rsidRPr="00A43F12">
        <w:rPr>
          <w:b/>
          <w:bCs/>
        </w:rPr>
        <w:t>2026：管理层变动与新战略。</w:t>
      </w:r>
    </w:p>
    <w:p w14:paraId="692ECD3A" w14:textId="4B203085" w:rsidR="00B21AE8" w:rsidRDefault="00B21AE8" w:rsidP="00A43F12">
      <w:pPr>
        <w:pStyle w:val="a9"/>
        <w:numPr>
          <w:ilvl w:val="0"/>
          <w:numId w:val="6"/>
        </w:numPr>
      </w:pPr>
      <w:r>
        <w:t>8 月 Q2 业绩公告同日宣布任命 Skye Anderson 为美国区总裁。</w:t>
      </w:r>
    </w:p>
    <w:p w14:paraId="5D5C1105" w14:textId="438429E6" w:rsidR="003C0BA4" w:rsidRDefault="00B21AE8" w:rsidP="00A43F12">
      <w:pPr>
        <w:pStyle w:val="a9"/>
        <w:numPr>
          <w:ilvl w:val="0"/>
          <w:numId w:val="6"/>
        </w:numPr>
      </w:pPr>
      <w:r>
        <w:lastRenderedPageBreak/>
        <w:t>9 月 23 日公布 McDonald's &gt; NEXT 及 2030 年目标：鸡肉与饮料品类份额各提升 1.5 个百分点、营业利润率达到"低至中 50%"区间、约 250 个基点的餐厅层面总效率提升。这些是前瞻性目标，不是已实现数据。</w:t>
      </w:r>
    </w:p>
    <w:p w14:paraId="6D48F729" w14:textId="77777777" w:rsidR="003C0BA4" w:rsidRDefault="003C0BA4"/>
    <w:p w14:paraId="3B5F10E7" w14:textId="6D087525" w:rsidR="003C0BA4" w:rsidRDefault="00E5311A" w:rsidP="00E5311A">
      <w:pPr>
        <w:pStyle w:val="2"/>
      </w:pPr>
      <w:r>
        <w:rPr>
          <w:rFonts w:hint="eastAsia"/>
        </w:rPr>
        <w:t>商业模式</w:t>
      </w:r>
    </w:p>
    <w:p w14:paraId="35A9032C" w14:textId="6E5D1B87" w:rsidR="00157586" w:rsidRPr="00B41CFA" w:rsidRDefault="00157586" w:rsidP="0087372B">
      <w:pPr>
        <w:pStyle w:val="3"/>
      </w:pPr>
      <w:r w:rsidRPr="00B41CFA">
        <w:rPr>
          <w:rFonts w:hint="eastAsia"/>
        </w:rPr>
        <w:t>基本结构</w:t>
      </w:r>
    </w:p>
    <w:p w14:paraId="4EC83626" w14:textId="78D8F12B" w:rsidR="00E05168" w:rsidRDefault="00E05168" w:rsidP="00E05168">
      <w:r>
        <w:t>麦当劳是</w:t>
      </w:r>
      <w:r w:rsidRPr="00E05168">
        <w:rPr>
          <w:b/>
          <w:bCs/>
        </w:rPr>
        <w:t>特许经营授权方</w:t>
      </w:r>
      <w:r>
        <w:t>、</w:t>
      </w:r>
      <w:r w:rsidRPr="00E05168">
        <w:rPr>
          <w:b/>
          <w:bCs/>
        </w:rPr>
        <w:t>房地产持有或承租方</w:t>
      </w:r>
      <w:r>
        <w:t>和</w:t>
      </w:r>
      <w:r w:rsidRPr="00E05168">
        <w:rPr>
          <w:b/>
          <w:bCs/>
        </w:rPr>
        <w:t>品牌运营方</w:t>
      </w:r>
      <w:r>
        <w:t>的结合体，不是单纯的餐厅运营商。据公司披露，其收入来自三类：</w:t>
      </w:r>
    </w:p>
    <w:p w14:paraId="71D22E70" w14:textId="77777777" w:rsidR="00E05168" w:rsidRDefault="00E05168" w:rsidP="007F48B2">
      <w:pPr>
        <w:pStyle w:val="a9"/>
        <w:numPr>
          <w:ilvl w:val="0"/>
          <w:numId w:val="7"/>
        </w:numPr>
      </w:pPr>
      <w:r>
        <w:t>特许经营餐厅缴纳的租金、特许权使用费（royalty）和开店初始费。</w:t>
      </w:r>
    </w:p>
    <w:p w14:paraId="274C6857" w14:textId="77777777" w:rsidR="00E05168" w:rsidRDefault="00E05168" w:rsidP="007F48B2">
      <w:pPr>
        <w:pStyle w:val="a9"/>
        <w:numPr>
          <w:ilvl w:val="0"/>
          <w:numId w:val="7"/>
        </w:numPr>
      </w:pPr>
      <w:r>
        <w:t>公司直营餐厅的销售额。</w:t>
      </w:r>
    </w:p>
    <w:p w14:paraId="5A219DE4" w14:textId="394B896E" w:rsidR="003C0BA4" w:rsidRDefault="00E05168" w:rsidP="007F48B2">
      <w:pPr>
        <w:pStyle w:val="a9"/>
        <w:numPr>
          <w:ilvl w:val="0"/>
          <w:numId w:val="7"/>
        </w:numPr>
      </w:pPr>
      <w:r>
        <w:t>其他收入，主要是向特许经营商收回的数字化平台成本，以及品牌授权。</w:t>
      </w:r>
    </w:p>
    <w:p w14:paraId="56B31F93" w14:textId="77777777" w:rsidR="003C0BA4" w:rsidRPr="00E05168" w:rsidRDefault="003C0BA4" w:rsidP="003C0BA4"/>
    <w:p w14:paraId="5382D921" w14:textId="4A219D42" w:rsidR="00650E99" w:rsidRDefault="00650E99" w:rsidP="00650E99">
      <w:r>
        <w:t>特许经营协议期限一般为 20 年。公司披露特许经营餐厅约占全球餐厅的 95%。</w:t>
      </w:r>
    </w:p>
    <w:p w14:paraId="270FFE31" w14:textId="4B4A43B5" w:rsidR="00650E99" w:rsidRPr="00650E99" w:rsidRDefault="00650E99" w:rsidP="00650E99">
      <w:r>
        <w:t>具体分三种合作结构，资本投入和收入形态各不相同：</w:t>
      </w:r>
    </w:p>
    <w:p w14:paraId="2B9759AC" w14:textId="77777777" w:rsidR="00650E99" w:rsidRDefault="00650E99" w:rsidP="00650E99">
      <w:pPr>
        <w:pStyle w:val="a9"/>
        <w:numPr>
          <w:ilvl w:val="0"/>
          <w:numId w:val="8"/>
        </w:numPr>
      </w:pPr>
      <w:r>
        <w:t>常规特许经营（conventional franchise）。 公司通常自有或长期租赁土地和建筑，特许经营商出资购置设备、招牌、座椅和装修。公司收取按销售额比例计算的租金和特许权使用费，并设有最低租金，开店时另收初始费。公司认为"持有房地产加上特许经营商共同投资"是其餐厅业绩处于行业前列的原因。</w:t>
      </w:r>
    </w:p>
    <w:p w14:paraId="6857D3FA" w14:textId="77777777" w:rsidR="00650E99" w:rsidRDefault="00650E99" w:rsidP="00650E99">
      <w:pPr>
        <w:pStyle w:val="a9"/>
        <w:numPr>
          <w:ilvl w:val="0"/>
          <w:numId w:val="8"/>
        </w:numPr>
      </w:pPr>
      <w:r>
        <w:t>发展授权（developmental license）与关联公司（affiliate）。 被授权方负责运营，并出资承担全部业务，包括房地产权益。公司一般不投入餐厅资本，收取按销售额比例计算的特许权使用费和初始费。关联公司中公司还持有股权，按权益法确认收益，中国内地与日本是主要例子。</w:t>
      </w:r>
    </w:p>
    <w:p w14:paraId="0C6C1C61" w14:textId="77777777" w:rsidR="00650E99" w:rsidRDefault="00650E99" w:rsidP="00650E99">
      <w:pPr>
        <w:pStyle w:val="a9"/>
        <w:numPr>
          <w:ilvl w:val="0"/>
          <w:numId w:val="8"/>
        </w:numPr>
      </w:pPr>
      <w:r>
        <w:t>直营。 公司直接经营餐厅，获得餐厅利润。公司称，直营餐厅为公司作为特许经营授权方提供可信度，是训练、测试新产品和运营标准的场所。</w:t>
      </w:r>
    </w:p>
    <w:p w14:paraId="2A8960B3" w14:textId="77777777" w:rsidR="00650E99" w:rsidRDefault="00650E99" w:rsidP="00650E99"/>
    <w:p w14:paraId="61524683" w14:textId="4DD5F03E" w:rsidR="006A5087" w:rsidRDefault="006A5087" w:rsidP="006A5087">
      <w:r>
        <w:t>任何一家麦当劳餐厅，都由三个问题决定它属于哪种结构：</w:t>
      </w:r>
    </w:p>
    <w:p w14:paraId="2C67F15F" w14:textId="77777777" w:rsidR="006A5087" w:rsidRDefault="006A5087">
      <w:pPr>
        <w:pStyle w:val="a9"/>
        <w:numPr>
          <w:ilvl w:val="0"/>
          <w:numId w:val="10"/>
        </w:numPr>
      </w:pPr>
      <w:r>
        <w:t>谁出资拿地、建楼？</w:t>
      </w:r>
    </w:p>
    <w:p w14:paraId="2AA3A4ED" w14:textId="77777777" w:rsidR="006A5087" w:rsidRDefault="006A5087">
      <w:pPr>
        <w:pStyle w:val="a9"/>
        <w:numPr>
          <w:ilvl w:val="0"/>
          <w:numId w:val="10"/>
        </w:numPr>
      </w:pPr>
      <w:r>
        <w:t>谁出资购置设备、装修，并承担日常运营与用工？</w:t>
      </w:r>
    </w:p>
    <w:p w14:paraId="1276167C" w14:textId="62FAE2A6" w:rsidR="00CB204E" w:rsidRDefault="006A5087">
      <w:pPr>
        <w:pStyle w:val="a9"/>
        <w:numPr>
          <w:ilvl w:val="0"/>
          <w:numId w:val="10"/>
        </w:numPr>
      </w:pPr>
      <w:r>
        <w:t>麦当劳从这家餐厅的每一美元销售额里拿什么？</w:t>
      </w:r>
    </w:p>
    <w:p w14:paraId="09176E89" w14:textId="0B06270E" w:rsidR="007D0B33" w:rsidRDefault="00F32BC8" w:rsidP="00995A6E">
      <w:r w:rsidRPr="00F32BC8">
        <w:rPr>
          <w:noProof/>
        </w:rPr>
        <w:lastRenderedPageBreak/>
        <w:drawing>
          <wp:inline distT="0" distB="0" distL="0" distR="0" wp14:anchorId="414B9ADD" wp14:editId="11C99064">
            <wp:extent cx="6645910" cy="2294890"/>
            <wp:effectExtent l="0" t="0" r="0" b="3810"/>
            <wp:docPr id="1800216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16972" name=""/>
                    <pic:cNvPicPr/>
                  </pic:nvPicPr>
                  <pic:blipFill>
                    <a:blip r:embed="rId5"/>
                    <a:stretch>
                      <a:fillRect/>
                    </a:stretch>
                  </pic:blipFill>
                  <pic:spPr>
                    <a:xfrm>
                      <a:off x="0" y="0"/>
                      <a:ext cx="6645910" cy="2294890"/>
                    </a:xfrm>
                    <a:prstGeom prst="rect">
                      <a:avLst/>
                    </a:prstGeom>
                  </pic:spPr>
                </pic:pic>
              </a:graphicData>
            </a:graphic>
          </wp:inline>
        </w:drawing>
      </w:r>
    </w:p>
    <w:p w14:paraId="265108BD" w14:textId="508FDF85" w:rsidR="00995A6E" w:rsidRDefault="007D0B33" w:rsidP="00995A6E">
      <w:r>
        <w:rPr>
          <w:rFonts w:hint="eastAsia"/>
        </w:rPr>
        <w:t>麦当劳的报告分部</w:t>
      </w:r>
      <w:r w:rsidR="002D1419">
        <w:rPr>
          <w:rFonts w:hint="eastAsia"/>
        </w:rPr>
        <w:t>按照地理和管理口径划分为</w:t>
      </w:r>
      <w:r>
        <w:rPr>
          <w:rFonts w:hint="eastAsia"/>
        </w:rPr>
        <w:t>三种，</w:t>
      </w:r>
      <w:r w:rsidR="002D1419" w:rsidRPr="002D1419">
        <w:t>三种合作结构（常规特许经营、发展授权/关联公司、直营）在分部之间交叉分布，只是各分部的"主导结构"不同。</w:t>
      </w:r>
    </w:p>
    <w:p w14:paraId="5ED59B87" w14:textId="56017850" w:rsidR="0030193D" w:rsidRDefault="0030193D" w:rsidP="00995A6E">
      <w:r w:rsidRPr="0030193D">
        <w:rPr>
          <w:noProof/>
        </w:rPr>
        <w:drawing>
          <wp:inline distT="0" distB="0" distL="0" distR="0" wp14:anchorId="11718143" wp14:editId="22B14CF1">
            <wp:extent cx="6645910" cy="1964055"/>
            <wp:effectExtent l="0" t="0" r="0" b="4445"/>
            <wp:docPr id="6571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489" name=""/>
                    <pic:cNvPicPr/>
                  </pic:nvPicPr>
                  <pic:blipFill>
                    <a:blip r:embed="rId6"/>
                    <a:stretch>
                      <a:fillRect/>
                    </a:stretch>
                  </pic:blipFill>
                  <pic:spPr>
                    <a:xfrm>
                      <a:off x="0" y="0"/>
                      <a:ext cx="6645910" cy="1964055"/>
                    </a:xfrm>
                    <a:prstGeom prst="rect">
                      <a:avLst/>
                    </a:prstGeom>
                  </pic:spPr>
                </pic:pic>
              </a:graphicData>
            </a:graphic>
          </wp:inline>
        </w:drawing>
      </w:r>
    </w:p>
    <w:p w14:paraId="0DC8F149" w14:textId="77777777" w:rsidR="00995A6E" w:rsidRDefault="00995A6E" w:rsidP="00995A6E">
      <w:r w:rsidRPr="00E70E17">
        <w:rPr>
          <w:noProof/>
        </w:rPr>
        <w:drawing>
          <wp:inline distT="0" distB="0" distL="0" distR="0" wp14:anchorId="6D7503B7" wp14:editId="3D1C633D">
            <wp:extent cx="6645910" cy="1562735"/>
            <wp:effectExtent l="0" t="0" r="0" b="0"/>
            <wp:docPr id="1340041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41759" name=""/>
                    <pic:cNvPicPr/>
                  </pic:nvPicPr>
                  <pic:blipFill>
                    <a:blip r:embed="rId7"/>
                    <a:stretch>
                      <a:fillRect/>
                    </a:stretch>
                  </pic:blipFill>
                  <pic:spPr>
                    <a:xfrm>
                      <a:off x="0" y="0"/>
                      <a:ext cx="6645910" cy="1562735"/>
                    </a:xfrm>
                    <a:prstGeom prst="rect">
                      <a:avLst/>
                    </a:prstGeom>
                  </pic:spPr>
                </pic:pic>
              </a:graphicData>
            </a:graphic>
          </wp:inline>
        </w:drawing>
      </w:r>
    </w:p>
    <w:p w14:paraId="70DD40F4" w14:textId="77777777" w:rsidR="00995A6E" w:rsidRDefault="00995A6E" w:rsidP="00995A6E">
      <w:r w:rsidRPr="000055FC">
        <w:t>美国市场是大规模、高度特许经营、持有房地产的结构，贡献最稳定的利润。</w:t>
      </w:r>
    </w:p>
    <w:p w14:paraId="7311BCC2" w14:textId="77777777" w:rsidR="00995A6E" w:rsidRDefault="00995A6E" w:rsidP="00995A6E">
      <w:r w:rsidRPr="000055FC">
        <w:t>IOM 的直营比例相对较高（约 11%），营收口径更大，利润率略低于美国。</w:t>
      </w:r>
    </w:p>
    <w:p w14:paraId="0A8362E1" w14:textId="77777777" w:rsidR="00995A6E" w:rsidRDefault="00995A6E" w:rsidP="00995A6E">
      <w:r w:rsidRPr="000055FC">
        <w:t>IDL 餐厅数最多，但公司几乎不投入餐厅资本，特许经营利润率接近 100%，因此营收小、利润率低：其营业利润还要承担集团公司费用，分部口径不能直接与美国比较。</w:t>
      </w:r>
    </w:p>
    <w:p w14:paraId="2A52D872" w14:textId="77777777" w:rsidR="0087372B" w:rsidRDefault="0087372B" w:rsidP="00995A6E"/>
    <w:p w14:paraId="7676C7BB" w14:textId="194129EE" w:rsidR="00B57869" w:rsidRPr="00995A6E" w:rsidRDefault="0087372B" w:rsidP="0087372B">
      <w:pPr>
        <w:pStyle w:val="3"/>
      </w:pPr>
      <w:r>
        <w:rPr>
          <w:rFonts w:hint="eastAsia"/>
        </w:rPr>
        <w:t>经营</w:t>
      </w:r>
      <w:r w:rsidR="00A51F4B">
        <w:rPr>
          <w:rFonts w:hint="eastAsia"/>
        </w:rPr>
        <w:t>逻辑</w:t>
      </w:r>
    </w:p>
    <w:p w14:paraId="28734E49" w14:textId="01D22F72" w:rsidR="00937580" w:rsidRPr="00416BFC" w:rsidRDefault="00416BFC" w:rsidP="00416BFC">
      <w:pPr>
        <w:pStyle w:val="a9"/>
        <w:numPr>
          <w:ilvl w:val="0"/>
          <w:numId w:val="1"/>
        </w:numPr>
        <w:rPr>
          <w:b/>
          <w:bCs/>
        </w:rPr>
      </w:pPr>
      <w:r w:rsidRPr="00416BFC">
        <w:rPr>
          <w:b/>
          <w:bCs/>
        </w:rPr>
        <w:t>特许经营关系是如何建立</w:t>
      </w:r>
      <w:r w:rsidRPr="00416BFC">
        <w:rPr>
          <w:rFonts w:hint="eastAsia"/>
          <w:b/>
          <w:bCs/>
        </w:rPr>
        <w:t>的</w:t>
      </w:r>
    </w:p>
    <w:p w14:paraId="0E0D4FCA" w14:textId="000AA08F" w:rsidR="00937580" w:rsidRDefault="00F16D89" w:rsidP="003C0BA4">
      <w:r w:rsidRPr="00F16D89">
        <w:t>年报披露的是一套"准入条件加持续义务"</w:t>
      </w:r>
      <w:r>
        <w:rPr>
          <w:rFonts w:hint="eastAsia"/>
        </w:rPr>
        <w:t>。</w:t>
      </w:r>
    </w:p>
    <w:p w14:paraId="3D80E24A" w14:textId="47DFD6CF" w:rsidR="009F4C4B" w:rsidRDefault="009752D7" w:rsidP="003C0BA4">
      <w:r w:rsidRPr="008E5073">
        <w:rPr>
          <w:b/>
          <w:bCs/>
        </w:rPr>
        <w:t>麦当劳对加盟商的要求</w:t>
      </w:r>
      <w:r>
        <w:rPr>
          <w:rFonts w:hint="eastAsia"/>
        </w:rPr>
        <w:t>：</w:t>
      </w:r>
      <w:r w:rsidRPr="009752D7">
        <w:t>公司要求加盟商满足严格标准，并"一般不与被动投资者合作"，即加盟商必须是</w:t>
      </w:r>
      <w:r w:rsidRPr="008E5073">
        <w:rPr>
          <w:b/>
          <w:bCs/>
        </w:rPr>
        <w:t>亲</w:t>
      </w:r>
      <w:r w:rsidRPr="008E5073">
        <w:rPr>
          <w:b/>
          <w:bCs/>
        </w:rPr>
        <w:lastRenderedPageBreak/>
        <w:t>自经营的店主</w:t>
      </w:r>
      <w:r w:rsidRPr="009752D7">
        <w:t>。双方关系以麦当劳全球品牌标准（Global Brand Standards）及相关政策为约束。年报把"选对加盟商"和"能否把他们整合进体系"明确列为影响公司业绩的因素。</w:t>
      </w:r>
    </w:p>
    <w:p w14:paraId="284CE526" w14:textId="08CE1C91" w:rsidR="00E42F0D" w:rsidRDefault="00E42F0D" w:rsidP="00E42F0D">
      <w:r w:rsidRPr="00E42F0D">
        <w:rPr>
          <w:b/>
          <w:bCs/>
        </w:rPr>
        <w:t>加盟商向麦当劳支付什么</w:t>
      </w:r>
      <w:r>
        <w:rPr>
          <w:rFonts w:hint="eastAsia"/>
        </w:rPr>
        <w:t>：</w:t>
      </w:r>
      <w:r>
        <w:t>租金和特许权使用费均按销售额的一定比例计算，其中租金设有最低额；开设新餐厅或获得新特许经营权时，另付一次性初始费。协议（含场地占用权和经营权）期限一般为 20 年。</w:t>
      </w:r>
    </w:p>
    <w:p w14:paraId="0C3BF2C6" w14:textId="06035680" w:rsidR="009F4C4B" w:rsidRDefault="00E42F0D" w:rsidP="00E42F0D">
      <w:r w:rsidRPr="00B77A59">
        <w:rPr>
          <w:b/>
          <w:bCs/>
        </w:rPr>
        <w:t>加盟商保留什么</w:t>
      </w:r>
      <w:r w:rsidR="00B77A59">
        <w:rPr>
          <w:rFonts w:hint="eastAsia"/>
        </w:rPr>
        <w:t>：</w:t>
      </w:r>
      <w:r>
        <w:t>年报称，特许经营使个人能够"成为自己的雇主"，保留对用工、营销和定价的控制权。</w:t>
      </w:r>
    </w:p>
    <w:p w14:paraId="28629CF5" w14:textId="491A1616" w:rsidR="00937580" w:rsidRDefault="00081B59" w:rsidP="003C0BA4">
      <w:r w:rsidRPr="00081B59">
        <w:rPr>
          <w:b/>
          <w:bCs/>
        </w:rPr>
        <w:t>麦当劳承担什么</w:t>
      </w:r>
      <w:r>
        <w:rPr>
          <w:rFonts w:hint="eastAsia"/>
        </w:rPr>
        <w:t>：</w:t>
      </w:r>
      <w:r w:rsidRPr="00081B59">
        <w:t>在特许经营场地上，物业税、保险和场地维护等占用成本，一般按协议由加盟商承担。公司曾为体系内的借款提供担保，2025 年年末约 8,500 万美元，年报称其账面无计提。年报同时提示，加盟商能否取得合理利率的融资，会影响其响应重大举措的意愿与能力。</w:t>
      </w:r>
    </w:p>
    <w:p w14:paraId="3A3EA926" w14:textId="77777777" w:rsidR="00937580" w:rsidRDefault="00937580" w:rsidP="003C0BA4"/>
    <w:p w14:paraId="0F2DAF0A" w14:textId="021D32F8" w:rsidR="00083CE4" w:rsidRPr="00315CC5" w:rsidRDefault="00083CE4">
      <w:pPr>
        <w:pStyle w:val="a9"/>
        <w:numPr>
          <w:ilvl w:val="0"/>
          <w:numId w:val="12"/>
        </w:numPr>
        <w:ind w:leftChars="191" w:left="860"/>
        <w:rPr>
          <w:b/>
          <w:bCs/>
        </w:rPr>
      </w:pPr>
      <w:r w:rsidRPr="00315CC5">
        <w:rPr>
          <w:rFonts w:hint="eastAsia"/>
          <w:b/>
          <w:bCs/>
        </w:rPr>
        <w:t>初始费</w:t>
      </w:r>
    </w:p>
    <w:p w14:paraId="3DCBE9D2" w14:textId="2D41A73A" w:rsidR="00083CE4" w:rsidRDefault="00083CE4" w:rsidP="00B55843">
      <w:pPr>
        <w:ind w:leftChars="191" w:left="420" w:firstLine="420"/>
      </w:pPr>
      <w:r>
        <w:t>加盟商在开设新餐厅，或获得新的特许经营权时，一次性向麦当劳支付的费用。这是年报的表述。</w:t>
      </w:r>
    </w:p>
    <w:p w14:paraId="52D5DF86" w14:textId="4900416E" w:rsidR="00083CE4" w:rsidRDefault="00083CE4" w:rsidP="00B55843">
      <w:pPr>
        <w:ind w:leftChars="382" w:left="840"/>
      </w:pPr>
      <w:r w:rsidRPr="00083CE4">
        <w:rPr>
          <w:b/>
          <w:bCs/>
        </w:rPr>
        <w:t>会计处理</w:t>
      </w:r>
      <w:r>
        <w:t>：公司在特许经营期（一般 20 年）内逐年确认为收入。收到现金时，先记入资产负债表的"递延收入－初始特许经营费"，2025 年年末余额 9.45 亿美元。</w:t>
      </w:r>
    </w:p>
    <w:p w14:paraId="6D9F80C6" w14:textId="62130E54" w:rsidR="00FE7E97" w:rsidRDefault="00083CE4" w:rsidP="00B55843">
      <w:pPr>
        <w:ind w:leftChars="191" w:left="420" w:firstLine="420"/>
      </w:pPr>
      <w:r w:rsidRPr="00083CE4">
        <w:rPr>
          <w:b/>
          <w:bCs/>
        </w:rPr>
        <w:t>金额占比</w:t>
      </w:r>
      <w:r>
        <w:t>：2025 年初始费约 0.88 亿美元，约占特许经营收入的 0.5%，规模很小。</w:t>
      </w:r>
    </w:p>
    <w:p w14:paraId="7EC252F1" w14:textId="77777777" w:rsidR="00083CE4" w:rsidRDefault="00083CE4" w:rsidP="003C0BA4"/>
    <w:p w14:paraId="3E40EF7F" w14:textId="0FCF387F" w:rsidR="00B57869" w:rsidRPr="00436C04" w:rsidRDefault="00436C04" w:rsidP="00436C04">
      <w:pPr>
        <w:pStyle w:val="a9"/>
        <w:numPr>
          <w:ilvl w:val="0"/>
          <w:numId w:val="1"/>
        </w:numPr>
        <w:rPr>
          <w:b/>
          <w:bCs/>
        </w:rPr>
      </w:pPr>
      <w:r w:rsidRPr="00436C04">
        <w:rPr>
          <w:b/>
          <w:bCs/>
        </w:rPr>
        <w:t>发展授权与关联公司</w:t>
      </w:r>
      <w:r w:rsidRPr="00436C04">
        <w:rPr>
          <w:rFonts w:hint="eastAsia"/>
          <w:b/>
          <w:bCs/>
        </w:rPr>
        <w:t>如何运作</w:t>
      </w:r>
    </w:p>
    <w:p w14:paraId="26FED932" w14:textId="734A8046" w:rsidR="00A43E95" w:rsidRDefault="00A43E95" w:rsidP="00A43E95">
      <w:r w:rsidRPr="00A43E95">
        <w:rPr>
          <w:b/>
          <w:bCs/>
        </w:rPr>
        <w:t>发展授权（developmental license）</w:t>
      </w:r>
      <w:r>
        <w:rPr>
          <w:rFonts w:hint="eastAsia"/>
        </w:rPr>
        <w:t>：</w:t>
      </w:r>
      <w:r>
        <w:t>被授权方负责运营和管理业务，自行出资（包括房地产权益）并负责开发和开设新餐厅。麦当劳一般不投入餐厅资本，只收取按销售额比例的特许权使用费，以及开店或授予新授权时的初始费。2025 年年末这类餐厅有 9,675 家，年销售额约 224.5 亿美元。</w:t>
      </w:r>
    </w:p>
    <w:p w14:paraId="5997DE48" w14:textId="4EB1CA6D" w:rsidR="00436C04" w:rsidRDefault="00A43E95" w:rsidP="00A43E95">
      <w:r w:rsidRPr="00A43E95">
        <w:rPr>
          <w:b/>
          <w:bCs/>
        </w:rPr>
        <w:t>关联公司（affiliate）</w:t>
      </w:r>
      <w:r>
        <w:rPr>
          <w:rFonts w:hint="eastAsia"/>
        </w:rPr>
        <w:t>：</w:t>
      </w:r>
      <w:r>
        <w:t>年报明确称，两者"在很大程度上相同"，区别只在一点：在关联公司安排下，麦当劳同时持有股权，并把应占净利润记入"联营公司权益收益"。关联公司主要用于中国和日本，也有少数 IOM 内的个别餐厅。2025 年年末这类餐厅有 11,072 家，销售额约 134.6 亿美元。</w:t>
      </w:r>
    </w:p>
    <w:p w14:paraId="12C1B7E6" w14:textId="77777777" w:rsidR="00436C04" w:rsidRPr="00C53F86" w:rsidRDefault="00436C04" w:rsidP="003C0BA4"/>
    <w:p w14:paraId="3542A2B4" w14:textId="6EE75D77" w:rsidR="002D3740" w:rsidRPr="002D3740" w:rsidRDefault="002D3740" w:rsidP="002D3740">
      <w:r>
        <w:t>以中国和日本为例：</w:t>
      </w:r>
    </w:p>
    <w:p w14:paraId="5868AAFB" w14:textId="77777777" w:rsidR="002D3740" w:rsidRDefault="002D3740">
      <w:pPr>
        <w:pStyle w:val="a9"/>
        <w:numPr>
          <w:ilvl w:val="0"/>
          <w:numId w:val="11"/>
        </w:numPr>
      </w:pPr>
      <w:r>
        <w:t>麦当劳向当地的持股公司授予主特许经营权（Master Franchise Agreement），由该公司在当地运营和发展业务。</w:t>
      </w:r>
    </w:p>
    <w:p w14:paraId="427445FC" w14:textId="77777777" w:rsidR="002D3740" w:rsidRDefault="002D3740">
      <w:pPr>
        <w:pStyle w:val="a9"/>
        <w:numPr>
          <w:ilvl w:val="0"/>
          <w:numId w:val="11"/>
        </w:numPr>
      </w:pPr>
      <w:r>
        <w:t>中国：持股公司为 Grand Foods Holding，麦当劳持股 48%，CITIC 联营体持股 52% 并控制，麦当劳按权益法核算，不合并报表。</w:t>
      </w:r>
    </w:p>
    <w:p w14:paraId="1380D129" w14:textId="61AD5F5D" w:rsidR="00CB204E" w:rsidRDefault="002D3740">
      <w:pPr>
        <w:pStyle w:val="a9"/>
        <w:numPr>
          <w:ilvl w:val="0"/>
          <w:numId w:val="11"/>
        </w:numPr>
      </w:pPr>
      <w:r>
        <w:t>日本：持股 35%，该公司为上市公司，2025 年年末公允价值约 19.2 亿美元，账面价值仅 6.6 亿美元。账面价值明显低于市值，是权益法的特点，不代表资产被高估，但也说明报表低估了该股权的市场价值。</w:t>
      </w:r>
    </w:p>
    <w:p w14:paraId="5299E86E" w14:textId="77777777" w:rsidR="002D3740" w:rsidRDefault="002D3740" w:rsidP="003C0BA4"/>
    <w:p w14:paraId="00A4B488" w14:textId="32A16BF9" w:rsidR="001F6F4A" w:rsidRPr="00D84A0A" w:rsidRDefault="001F6F4A" w:rsidP="00D84A0A">
      <w:pPr>
        <w:pStyle w:val="a9"/>
        <w:numPr>
          <w:ilvl w:val="0"/>
          <w:numId w:val="1"/>
        </w:numPr>
        <w:rPr>
          <w:b/>
          <w:bCs/>
        </w:rPr>
      </w:pPr>
      <w:r w:rsidRPr="00D84A0A">
        <w:rPr>
          <w:rFonts w:hint="eastAsia"/>
          <w:b/>
          <w:bCs/>
        </w:rPr>
        <w:t>直营店</w:t>
      </w:r>
    </w:p>
    <w:p w14:paraId="1F94EFE1" w14:textId="21A447EF" w:rsidR="00F339A1" w:rsidRDefault="00F339A1" w:rsidP="003C0BA4">
      <w:r>
        <w:rPr>
          <w:rFonts w:hint="eastAsia"/>
        </w:rPr>
        <w:t>保留少量直营店的原因：</w:t>
      </w:r>
    </w:p>
    <w:p w14:paraId="3A41F1E5" w14:textId="77777777" w:rsidR="00460299" w:rsidRDefault="00460299">
      <w:pPr>
        <w:pStyle w:val="a9"/>
        <w:numPr>
          <w:ilvl w:val="0"/>
          <w:numId w:val="14"/>
        </w:numPr>
      </w:pPr>
      <w:r>
        <w:lastRenderedPageBreak/>
        <w:t>直营运营为公司"作为可信的特许经营授权方"提供基础，使其能亲自验证标准是否可执行。</w:t>
      </w:r>
    </w:p>
    <w:p w14:paraId="0EE9B88F" w14:textId="77777777" w:rsidR="00460299" w:rsidRDefault="00460299">
      <w:pPr>
        <w:pStyle w:val="a9"/>
        <w:numPr>
          <w:ilvl w:val="0"/>
          <w:numId w:val="14"/>
        </w:numPr>
      </w:pPr>
      <w:r>
        <w:t>直营餐厅是公司人员接受运营培训的场所。</w:t>
      </w:r>
    </w:p>
    <w:p w14:paraId="3759FBAC" w14:textId="77777777" w:rsidR="00460299" w:rsidRDefault="00460299">
      <w:pPr>
        <w:pStyle w:val="a9"/>
        <w:numPr>
          <w:ilvl w:val="0"/>
          <w:numId w:val="14"/>
        </w:numPr>
      </w:pPr>
      <w:r>
        <w:t>加盟商的创新可在直营店测试，可行后再推广。</w:t>
      </w:r>
    </w:p>
    <w:p w14:paraId="5FECD2A3" w14:textId="1218D865" w:rsidR="00F339A1" w:rsidRPr="00460299" w:rsidRDefault="00460299">
      <w:pPr>
        <w:pStyle w:val="a9"/>
        <w:numPr>
          <w:ilvl w:val="0"/>
          <w:numId w:val="14"/>
        </w:numPr>
      </w:pPr>
      <w:r>
        <w:t>在直营餐厅，与加盟商合作，公司可以进一步完善运营标准、营销理念和产品与定价策略。</w:t>
      </w:r>
    </w:p>
    <w:p w14:paraId="33552267" w14:textId="06B93E8E" w:rsidR="001F6F4A" w:rsidRDefault="00E62CB2" w:rsidP="003C0BA4">
      <w:r w:rsidRPr="00E62CB2">
        <w:t>2025 年直营销售额 96.9 亿美元，占营收约 36%，但直营餐厅利润 14.2 亿美元，只占餐厅利润总额 153.5 亿美元的约 9%（据此计算）。也就是说，保留直营不是为了利润，而是为了经营能力。</w:t>
      </w:r>
    </w:p>
    <w:p w14:paraId="4213A9EF" w14:textId="5B9BA269" w:rsidR="00416B87" w:rsidRPr="00E62CB2" w:rsidRDefault="003E1A1C" w:rsidP="003C0BA4">
      <w:r w:rsidRPr="003E1A1C">
        <w:t>以 2026 年 6 月末为例，美国直营 641 家（约占该分部 4.7%），IOM 1,133 家（约 10.4%），IDL 238 家（约 1.1%）。这与 IOM 营收口径大、利润率略低的分部特征一致。</w:t>
      </w:r>
    </w:p>
    <w:p w14:paraId="31337F35" w14:textId="4A6C0B7E" w:rsidR="00416B87" w:rsidRDefault="00B1076D" w:rsidP="003C0BA4">
      <w:r w:rsidRPr="00B1076D">
        <w:rPr>
          <w:b/>
          <w:bCs/>
        </w:rPr>
        <w:t>直营餐厅利润率（2025 年 14.7%）是唯一能看到的、由公司自己运营一家标准餐厅的盈利水平</w:t>
      </w:r>
      <w:r w:rsidRPr="00B1076D">
        <w:t>，但年报没有披露加盟商的盈利，所以无法据此推断加盟商的收益是否健康。</w:t>
      </w:r>
    </w:p>
    <w:p w14:paraId="2D476B19" w14:textId="77777777" w:rsidR="001F6F4A" w:rsidRDefault="001F6F4A" w:rsidP="003C0BA4"/>
    <w:p w14:paraId="62E6CF43" w14:textId="5BB9DAB5" w:rsidR="002D3740" w:rsidRPr="00325F40" w:rsidRDefault="00443AE3" w:rsidP="00325F40">
      <w:pPr>
        <w:pStyle w:val="a9"/>
        <w:numPr>
          <w:ilvl w:val="0"/>
          <w:numId w:val="1"/>
        </w:numPr>
        <w:rPr>
          <w:b/>
          <w:bCs/>
        </w:rPr>
      </w:pPr>
      <w:r w:rsidRPr="00325F40">
        <w:rPr>
          <w:rFonts w:hint="eastAsia"/>
          <w:b/>
          <w:bCs/>
        </w:rPr>
        <w:t>供应链</w:t>
      </w:r>
    </w:p>
    <w:p w14:paraId="462A7AEC" w14:textId="31F711D1" w:rsidR="00443AE3" w:rsidRDefault="00182A46" w:rsidP="003C0BA4">
      <w:r w:rsidRPr="00182A46">
        <w:t>据特许经营披露文件（FDD）披露</w:t>
      </w:r>
      <w:r>
        <w:rPr>
          <w:rFonts w:hint="eastAsia"/>
        </w:rPr>
        <w:t>，</w:t>
      </w:r>
      <w:r w:rsidRPr="00182A46">
        <w:t>麦当劳不要求加盟商从麦当劳或其指定方购买商品、服务、设备、存货、软硬件；除餐厅整体转让外，麦当劳及其关联方不向加盟商销售固定装置、设备、食材或用品；公司高管也不持有任何已批准供应商的权益。</w:t>
      </w:r>
      <w:r w:rsidR="003E7C4F" w:rsidRPr="003E7C4F">
        <w:rPr>
          <w:b/>
          <w:bCs/>
        </w:rPr>
        <w:t>麦当劳要求加盟商只与其批准的供应商交易，并按其"唯一商业判断"制定规格。</w:t>
      </w:r>
    </w:p>
    <w:p w14:paraId="40BB8986" w14:textId="0410D05F" w:rsidR="005A197F" w:rsidRDefault="005A197F">
      <w:pPr>
        <w:pStyle w:val="a9"/>
        <w:numPr>
          <w:ilvl w:val="0"/>
          <w:numId w:val="13"/>
        </w:numPr>
      </w:pPr>
      <w:r w:rsidRPr="005A197F">
        <w:rPr>
          <w:b/>
          <w:bCs/>
        </w:rPr>
        <w:t>麦当劳自己不供货</w:t>
      </w:r>
      <w:r>
        <w:t>。公司及其关联公司和子公司"一般不向任何麦当劳餐厅供应食品、纸制品或相关物品"，而是依赖众多独立供应商，这些供应商必须满足并保持公司的高标准和规格。</w:t>
      </w:r>
    </w:p>
    <w:p w14:paraId="7597A5F4" w14:textId="2A8D9BA6" w:rsidR="005A197F" w:rsidRDefault="005A197F">
      <w:pPr>
        <w:pStyle w:val="a9"/>
        <w:numPr>
          <w:ilvl w:val="0"/>
          <w:numId w:val="13"/>
        </w:numPr>
      </w:pPr>
      <w:r w:rsidRPr="005A197F">
        <w:rPr>
          <w:b/>
          <w:bCs/>
        </w:rPr>
        <w:t>配送是独立的</w:t>
      </w:r>
      <w:r>
        <w:t>。早年年报（FY2016）披露：经公司批准的、独立拥有并经营的配送中心，向餐厅配送产品和用品。</w:t>
      </w:r>
    </w:p>
    <w:p w14:paraId="1813D6F1" w14:textId="2C294696" w:rsidR="00443AE3" w:rsidRDefault="005A197F">
      <w:pPr>
        <w:pStyle w:val="a9"/>
        <w:numPr>
          <w:ilvl w:val="0"/>
          <w:numId w:val="13"/>
        </w:numPr>
      </w:pPr>
      <w:r w:rsidRPr="005A197F">
        <w:rPr>
          <w:b/>
          <w:bCs/>
        </w:rPr>
        <w:t>麦当劳负责标准与监督</w:t>
      </w:r>
      <w:r>
        <w:t>：制定食品安全和质量标准并强制执行；对供应商做产品评审、现场访问、第三方审计，高风险食品还有突击审计；设有供应商行为准则；设有由全球首席供应链官领导的供应链管理体系；有全球食品安全顾问委员会。FY2016 年报还披露公司在全球设有质量中心。</w:t>
      </w:r>
    </w:p>
    <w:p w14:paraId="5BAEDEB0" w14:textId="77777777" w:rsidR="002D3740" w:rsidRDefault="002D3740" w:rsidP="003C0BA4"/>
    <w:p w14:paraId="4689F867" w14:textId="02F6E026" w:rsidR="003C0BA4" w:rsidRPr="004120D0" w:rsidRDefault="0020753C">
      <w:pPr>
        <w:pStyle w:val="a9"/>
        <w:numPr>
          <w:ilvl w:val="0"/>
          <w:numId w:val="9"/>
        </w:numPr>
        <w:rPr>
          <w:b/>
          <w:bCs/>
        </w:rPr>
      </w:pPr>
      <w:r w:rsidRPr="004120D0">
        <w:rPr>
          <w:rFonts w:hint="eastAsia"/>
          <w:b/>
          <w:bCs/>
        </w:rPr>
        <w:t>利润来源与风险承担</w:t>
      </w:r>
    </w:p>
    <w:p w14:paraId="6E73B428" w14:textId="72523272" w:rsidR="00F644F1" w:rsidRDefault="00F644F1" w:rsidP="00F644F1">
      <w:r w:rsidRPr="00F644F1">
        <w:rPr>
          <w:b/>
          <w:bCs/>
        </w:rPr>
        <w:t>特许经营收入本质上是销售额的抽成加房地产收益。</w:t>
      </w:r>
      <w:r w:rsidR="000C6594">
        <w:t>2016 年租金占比约 65.5%，特许权使用费约 33.6%。</w:t>
      </w:r>
      <w:r>
        <w:t>2025 年特许经营收入 165.5 亿美元，其中租金约占 63%，特许权使用费约占 36%，初始费约占 0.5%（据此计算）。这几年特许权使用费占比略升，与发展授权市场（IDL）扩张的方向一致。</w:t>
      </w:r>
    </w:p>
    <w:p w14:paraId="67D36295" w14:textId="5808DF08" w:rsidR="00F644F1" w:rsidRDefault="00F644F1" w:rsidP="00F644F1">
      <w:r>
        <w:t>收取的费用占特许经营销售额的比例，因地区而异，2025 年美国约 14.2%、国际运营市场（IOM）约 17.2%、国际发展授权市场及公司</w:t>
      </w:r>
      <w:r w:rsidR="00212CAF">
        <w:rPr>
          <w:rFonts w:hint="eastAsia"/>
        </w:rPr>
        <w:t>（IDL）</w:t>
      </w:r>
      <w:r>
        <w:t>约 5.4%（特许经营收入除以特许经营销售额）。IDL 低，是因为该区域公司不持有房地产，只收特许权使用费。</w:t>
      </w:r>
    </w:p>
    <w:p w14:paraId="3379D84E" w14:textId="77777777" w:rsidR="00F644F1" w:rsidRDefault="00F644F1" w:rsidP="00F644F1"/>
    <w:p w14:paraId="646BEA92" w14:textId="77777777" w:rsidR="00F644F1" w:rsidRDefault="00F644F1" w:rsidP="00F644F1">
      <w:r w:rsidRPr="00486C53">
        <w:rPr>
          <w:b/>
          <w:bCs/>
        </w:rPr>
        <w:t>房地产的作用。</w:t>
      </w:r>
      <w:r>
        <w:t xml:space="preserve"> 租金在特许经营收入中占大头，而公司对应的成本是占用成本（租赁费用和折旧）。2025 年特许经营餐厅利润率为 84.2%，即特许经营收入扣除占用成本后，仍有 84.2% 留在公司。年报披露，最低租金"与公司在自有场地上的投资以及租赁场地的租赁义务及其递增条款相平行"。2025 年末，特许经营安排下未折现的最低租金应收为 314.5 亿美元，公司全部租赁付款义务为 206.3 亿美元，前者约为后者的 1.5 </w:t>
      </w:r>
      <w:r>
        <w:lastRenderedPageBreak/>
        <w:t>倍。需要说明，这只是最低租金，不含按销售额比例的部分，且租赁付款还包括直营餐厅和办公场所，两者并非严格对应，只能作为方向性参考。</w:t>
      </w:r>
    </w:p>
    <w:p w14:paraId="1B12D2C2" w14:textId="77777777" w:rsidR="00F644F1" w:rsidRDefault="00F644F1" w:rsidP="00F644F1"/>
    <w:p w14:paraId="3C2C2FA6" w14:textId="1242DD25" w:rsidR="00F644F1" w:rsidRDefault="00F644F1" w:rsidP="00F644F1">
      <w:r w:rsidRPr="00F6737B">
        <w:rPr>
          <w:b/>
          <w:bCs/>
        </w:rPr>
        <w:t>风险分配。</w:t>
      </w:r>
      <w:r>
        <w:t xml:space="preserve"> 特许经营商承担日常运营、劳动力成本和设备再投资，公司承担地产持有成本、折旧和融资成本，收入却是按销售额比例收取，因此公司对销售额敏感，对单店利润不敏感。2020 年可以作为对照：特许经营销售额同比下降约 6%，特许经营收入下降约 8%，特许经营利润下降约 10%，营业利润下降约 19%，说明房地产成本和 G&amp;A 的固定属性带来了经营杠杆。</w:t>
      </w:r>
    </w:p>
    <w:p w14:paraId="6BDBA6F3" w14:textId="77777777" w:rsidR="003C0BA4" w:rsidRDefault="003C0BA4" w:rsidP="003C0BA4"/>
    <w:p w14:paraId="0D3EA1E2" w14:textId="7B7C6738" w:rsidR="00B161CF" w:rsidRPr="00C054E1" w:rsidRDefault="00C054E1" w:rsidP="00052C2E">
      <w:pPr>
        <w:pStyle w:val="3"/>
      </w:pPr>
      <w:r w:rsidRPr="00C054E1">
        <w:t>从顾客支付到合并报表</w:t>
      </w:r>
    </w:p>
    <w:p w14:paraId="55854F71" w14:textId="445F8176" w:rsidR="003C0BA4" w:rsidRPr="00EE6DA2" w:rsidRDefault="00161871" w:rsidP="003C0BA4">
      <w:r w:rsidRPr="00161871">
        <w:t>下面用 2025 年年报的实际比率，把"每 100 美元销售额"拆到各报表科目。这是示意性计算，不代表任何单店。</w:t>
      </w:r>
    </w:p>
    <w:p w14:paraId="764578E4" w14:textId="40126C4C" w:rsidR="003C0BA4" w:rsidRPr="007637F6" w:rsidRDefault="007637F6">
      <w:pPr>
        <w:pStyle w:val="a9"/>
        <w:numPr>
          <w:ilvl w:val="0"/>
          <w:numId w:val="15"/>
        </w:numPr>
        <w:rPr>
          <w:b/>
          <w:bCs/>
        </w:rPr>
      </w:pPr>
      <w:r w:rsidRPr="007637F6">
        <w:rPr>
          <w:rFonts w:hint="eastAsia"/>
          <w:b/>
          <w:bCs/>
        </w:rPr>
        <w:t>常规特许经营（</w:t>
      </w:r>
      <w:r w:rsidR="00994619">
        <w:rPr>
          <w:rFonts w:hint="eastAsia"/>
          <w:b/>
          <w:bCs/>
        </w:rPr>
        <w:t>以</w:t>
      </w:r>
      <w:r w:rsidRPr="007637F6">
        <w:rPr>
          <w:rFonts w:hint="eastAsia"/>
          <w:b/>
          <w:bCs/>
        </w:rPr>
        <w:t>美国分部</w:t>
      </w:r>
      <w:r w:rsidR="00994619">
        <w:rPr>
          <w:rFonts w:hint="eastAsia"/>
          <w:b/>
          <w:bCs/>
        </w:rPr>
        <w:t>为例</w:t>
      </w:r>
      <w:r w:rsidRPr="007637F6">
        <w:rPr>
          <w:rFonts w:hint="eastAsia"/>
          <w:b/>
          <w:bCs/>
        </w:rPr>
        <w:t>）</w:t>
      </w:r>
    </w:p>
    <w:p w14:paraId="623BB0AC" w14:textId="4432D4FC" w:rsidR="003C0BA4" w:rsidRDefault="00305A9F" w:rsidP="003C0BA4">
      <w:r w:rsidRPr="00684051">
        <w:rPr>
          <w:rFonts w:hint="eastAsia"/>
          <w:b/>
          <w:bCs/>
        </w:rPr>
        <w:t>顾客付款</w:t>
      </w:r>
      <w:r>
        <w:rPr>
          <w:rFonts w:hint="eastAsia"/>
        </w:rPr>
        <w:t>：</w:t>
      </w:r>
      <w:r w:rsidRPr="00305A9F">
        <w:t>顾客把 100 美元付给加盟商，这 100 美元属于"特许经营销售额"，是披露的经营指标，不是麦当劳收入。</w:t>
      </w:r>
    </w:p>
    <w:p w14:paraId="4EAE55A4" w14:textId="43592E32" w:rsidR="00912AE0" w:rsidRDefault="00912AE0" w:rsidP="00912AE0">
      <w:r w:rsidRPr="00912AE0">
        <w:rPr>
          <w:b/>
          <w:bCs/>
        </w:rPr>
        <w:t>麦当劳确认的收入</w:t>
      </w:r>
      <w:r>
        <w:rPr>
          <w:rFonts w:hint="eastAsia"/>
        </w:rPr>
        <w:t>：</w:t>
      </w:r>
      <w:r>
        <w:t>美国分部特许经营收入占特许经营销售额约 14.2%，即约 14.2 美元，记入"来自特许经营餐厅的收入"。按会计政策：</w:t>
      </w:r>
    </w:p>
    <w:p w14:paraId="11185790" w14:textId="77777777" w:rsidR="00912AE0" w:rsidRDefault="00912AE0">
      <w:pPr>
        <w:pStyle w:val="a9"/>
        <w:numPr>
          <w:ilvl w:val="0"/>
          <w:numId w:val="16"/>
        </w:numPr>
      </w:pPr>
      <w:r>
        <w:t>特许权使用费和按销售额计算的租金，在对应销售发生时确认。</w:t>
      </w:r>
    </w:p>
    <w:p w14:paraId="6DE3E0C3" w14:textId="77777777" w:rsidR="00912AE0" w:rsidRDefault="00912AE0">
      <w:pPr>
        <w:pStyle w:val="a9"/>
        <w:numPr>
          <w:ilvl w:val="0"/>
          <w:numId w:val="16"/>
        </w:numPr>
      </w:pPr>
      <w:r>
        <w:t>最低租金按特许经营期限（一般 20 年）直线确认。</w:t>
      </w:r>
    </w:p>
    <w:p w14:paraId="5A32948C" w14:textId="77777777" w:rsidR="00912AE0" w:rsidRDefault="00912AE0">
      <w:pPr>
        <w:pStyle w:val="a9"/>
        <w:numPr>
          <w:ilvl w:val="0"/>
          <w:numId w:val="16"/>
        </w:numPr>
      </w:pPr>
      <w:r>
        <w:t>初始费在 20 年的特许经营期内摊销确认；收到现金时先记入负债端的"递延收入－初始特许经营费"，2025 年年末余额 9.45 亿美元。</w:t>
      </w:r>
    </w:p>
    <w:p w14:paraId="26F59B44" w14:textId="61799480" w:rsidR="003C0BA4" w:rsidRPr="00912AE0" w:rsidRDefault="00912AE0">
      <w:pPr>
        <w:pStyle w:val="a9"/>
        <w:numPr>
          <w:ilvl w:val="0"/>
          <w:numId w:val="16"/>
        </w:numPr>
      </w:pPr>
      <w:r>
        <w:t>全球口径下，租金约占特许经营收入 63%，特许权使用费约 36%，初始费约 0.5%。美国分部内部的拆分年报未披露。</w:t>
      </w:r>
    </w:p>
    <w:p w14:paraId="37523EF2" w14:textId="02EAD818" w:rsidR="003C0BA4" w:rsidRDefault="00EC3257" w:rsidP="003C0BA4">
      <w:r w:rsidRPr="00EC3257">
        <w:rPr>
          <w:b/>
          <w:bCs/>
        </w:rPr>
        <w:t>对应的成本</w:t>
      </w:r>
      <w:r>
        <w:rPr>
          <w:rFonts w:hint="eastAsia"/>
        </w:rPr>
        <w:t>：</w:t>
      </w:r>
      <w:r w:rsidRPr="00EC3257">
        <w:t>记入"特许经营餐厅占用费用"，主要是土地建筑的租赁费用和折旧。美国分部 2025 年约为特许经营收入的 17.5%，折算为每 100 美元销售额约 2.5 美元，所以特许经营利润约 11.7 美元（利润率 82.5%）。</w:t>
      </w:r>
    </w:p>
    <w:p w14:paraId="34EA7626" w14:textId="77777777" w:rsidR="00207169" w:rsidRDefault="00207169" w:rsidP="003C0BA4"/>
    <w:p w14:paraId="69458914" w14:textId="639104E7" w:rsidR="003C0BA4" w:rsidRPr="00207169" w:rsidRDefault="00994619">
      <w:pPr>
        <w:pStyle w:val="a9"/>
        <w:numPr>
          <w:ilvl w:val="0"/>
          <w:numId w:val="15"/>
        </w:numPr>
        <w:rPr>
          <w:b/>
          <w:bCs/>
        </w:rPr>
      </w:pPr>
      <w:r w:rsidRPr="00207169">
        <w:rPr>
          <w:b/>
          <w:bCs/>
        </w:rPr>
        <w:t>发展授权与关联公司（以 IDL 分部为例）</w:t>
      </w:r>
    </w:p>
    <w:p w14:paraId="561BAC2E" w14:textId="6A421168" w:rsidR="00D1399C" w:rsidRPr="00D1399C" w:rsidRDefault="00D1399C" w:rsidP="00D1399C">
      <w:r w:rsidRPr="00D1399C">
        <w:rPr>
          <w:b/>
          <w:bCs/>
        </w:rPr>
        <w:t>顾客付款</w:t>
      </w:r>
      <w:r>
        <w:rPr>
          <w:rFonts w:hint="eastAsia"/>
        </w:rPr>
        <w:t>：</w:t>
      </w:r>
      <w:r>
        <w:t>同样是付给被授权方，100 美元计入"特许经营销售额"。</w:t>
      </w:r>
    </w:p>
    <w:p w14:paraId="3D40A482" w14:textId="5E5630C2" w:rsidR="00D1399C" w:rsidRPr="00D1399C" w:rsidRDefault="00D1399C" w:rsidP="00D1399C">
      <w:r w:rsidRPr="00D1399C">
        <w:rPr>
          <w:b/>
          <w:bCs/>
        </w:rPr>
        <w:t>麦当劳确认的收入</w:t>
      </w:r>
      <w:r>
        <w:rPr>
          <w:rFonts w:hint="eastAsia"/>
        </w:rPr>
        <w:t>：</w:t>
      </w:r>
      <w:r>
        <w:t>IDL 分部特许经营收入占特许经营销售额约 5.4%，即约 5.4 美元，几乎全部是特许权使用费，记入"来自特许经营餐厅的收入"。</w:t>
      </w:r>
    </w:p>
    <w:p w14:paraId="6D5858D5" w14:textId="19A6E6FE" w:rsidR="00D1399C" w:rsidRDefault="00D1399C" w:rsidP="00D1399C">
      <w:r w:rsidRPr="00F151E0">
        <w:rPr>
          <w:b/>
          <w:bCs/>
        </w:rPr>
        <w:t>对应的成本</w:t>
      </w:r>
      <w:r w:rsidR="00F151E0">
        <w:rPr>
          <w:rFonts w:hint="eastAsia"/>
        </w:rPr>
        <w:t>：</w:t>
      </w:r>
      <w:r>
        <w:t>麦当劳不持有这些餐厅的房地产，所以几乎没有占用费用（2025 年 IDL 的特许经营餐厅占用费用仅 100 万美元），特许经营利润率接近 100%。</w:t>
      </w:r>
    </w:p>
    <w:p w14:paraId="2BA8A2D4" w14:textId="5CB15215" w:rsidR="003C0BA4" w:rsidRDefault="00D1399C" w:rsidP="00D1399C">
      <w:r w:rsidRPr="00954C05">
        <w:rPr>
          <w:b/>
          <w:bCs/>
        </w:rPr>
        <w:t>关联公司的额外一层</w:t>
      </w:r>
      <w:r w:rsidR="00954C05">
        <w:rPr>
          <w:rFonts w:hint="eastAsia"/>
        </w:rPr>
        <w:t>：</w:t>
      </w:r>
      <w:r>
        <w:t>对于中国和日本，麦当劳还按持股比例确认应占净利润，记入"其他经营（收益）费用，净额"，不进入特许经营收入，也不进入餐厅利润。资产负债表上，这部分股权计入"对联营公司的投资和垫款"，2025 年年末 28.2 亿美元。</w:t>
      </w:r>
    </w:p>
    <w:p w14:paraId="7F7B5B54" w14:textId="77777777" w:rsidR="003C0BA4" w:rsidRDefault="003C0BA4" w:rsidP="003C0BA4"/>
    <w:p w14:paraId="3A6BAE2F" w14:textId="413CC828" w:rsidR="003C0BA4" w:rsidRPr="001B7BE0" w:rsidRDefault="001B7BE0">
      <w:pPr>
        <w:pStyle w:val="a9"/>
        <w:numPr>
          <w:ilvl w:val="0"/>
          <w:numId w:val="15"/>
        </w:numPr>
        <w:rPr>
          <w:b/>
          <w:bCs/>
        </w:rPr>
      </w:pPr>
      <w:r w:rsidRPr="001B7BE0">
        <w:rPr>
          <w:rFonts w:hint="eastAsia"/>
          <w:b/>
          <w:bCs/>
        </w:rPr>
        <w:t>直营</w:t>
      </w:r>
    </w:p>
    <w:p w14:paraId="30980A20" w14:textId="548FC4F2" w:rsidR="005C5CB0" w:rsidRDefault="005C5CB0" w:rsidP="005C5CB0">
      <w:r w:rsidRPr="005C5CB0">
        <w:rPr>
          <w:b/>
          <w:bCs/>
        </w:rPr>
        <w:t>顾客付款</w:t>
      </w:r>
      <w:r>
        <w:rPr>
          <w:rFonts w:hint="eastAsia"/>
        </w:rPr>
        <w:t>：</w:t>
      </w:r>
      <w:r>
        <w:t>顾客把 100 美元直接付给麦当劳，记入"公司直营餐厅销售额"，按现金收付制在销售发生时确认。</w:t>
      </w:r>
    </w:p>
    <w:p w14:paraId="69632D72" w14:textId="0E73DB85" w:rsidR="005C5CB0" w:rsidRDefault="005C5CB0" w:rsidP="005C5CB0">
      <w:r w:rsidRPr="006A319B">
        <w:rPr>
          <w:b/>
          <w:bCs/>
        </w:rPr>
        <w:t>成本全部由麦当劳承担</w:t>
      </w:r>
      <w:r w:rsidR="006A319B">
        <w:rPr>
          <w:rFonts w:hint="eastAsia"/>
        </w:rPr>
        <w:t>：</w:t>
      </w:r>
      <w:r>
        <w:t>按 2025 年直营餐厅的实际比率折算每 100 美元销售额：</w:t>
      </w:r>
    </w:p>
    <w:p w14:paraId="1CD36999" w14:textId="77777777" w:rsidR="005C5CB0" w:rsidRDefault="005C5CB0">
      <w:pPr>
        <w:pStyle w:val="a9"/>
        <w:numPr>
          <w:ilvl w:val="0"/>
          <w:numId w:val="17"/>
        </w:numPr>
      </w:pPr>
      <w:r>
        <w:t>食品和包装约 31.0 美元。</w:t>
      </w:r>
    </w:p>
    <w:p w14:paraId="7586DDBB" w14:textId="77777777" w:rsidR="005C5CB0" w:rsidRDefault="005C5CB0">
      <w:pPr>
        <w:pStyle w:val="a9"/>
        <w:numPr>
          <w:ilvl w:val="0"/>
          <w:numId w:val="17"/>
        </w:numPr>
      </w:pPr>
      <w:r>
        <w:t>员工薪酬与福利约 30.0 美元。</w:t>
      </w:r>
    </w:p>
    <w:p w14:paraId="51F55641" w14:textId="2B2B4C15" w:rsidR="005C5CB0" w:rsidRDefault="005C5CB0">
      <w:pPr>
        <w:pStyle w:val="a9"/>
        <w:numPr>
          <w:ilvl w:val="0"/>
          <w:numId w:val="17"/>
        </w:numPr>
      </w:pPr>
      <w:r>
        <w:t>占用及其他经营费用约 24.3 美元，其中包括向广告合作社缴纳的按销售额比例的广告费，2025 年为 3.41 亿美元。</w:t>
      </w:r>
    </w:p>
    <w:p w14:paraId="4BFAD71A" w14:textId="77777777" w:rsidR="005C5CB0" w:rsidRDefault="005C5CB0">
      <w:pPr>
        <w:pStyle w:val="a9"/>
        <w:numPr>
          <w:ilvl w:val="0"/>
          <w:numId w:val="17"/>
        </w:numPr>
      </w:pPr>
      <w:r>
        <w:t>合计约 85.3 美元，所以直营餐厅利润约 14.7 美元（利润率 14.7%）。</w:t>
      </w:r>
    </w:p>
    <w:p w14:paraId="711AD1F7" w14:textId="77777777" w:rsidR="005C5CB0" w:rsidRDefault="005C5CB0" w:rsidP="005C5CB0"/>
    <w:p w14:paraId="170F3FFE" w14:textId="282E56DE" w:rsidR="003C0BA4" w:rsidRPr="00D54267" w:rsidRDefault="00D54267">
      <w:pPr>
        <w:pStyle w:val="a9"/>
        <w:numPr>
          <w:ilvl w:val="0"/>
          <w:numId w:val="15"/>
        </w:numPr>
        <w:rPr>
          <w:b/>
          <w:bCs/>
        </w:rPr>
      </w:pPr>
      <w:r w:rsidRPr="00D54267">
        <w:rPr>
          <w:b/>
          <w:bCs/>
        </w:rPr>
        <w:t>汇总到合并利润表</w:t>
      </w:r>
    </w:p>
    <w:p w14:paraId="5B773FFF" w14:textId="77777777" w:rsidR="00461B14" w:rsidRDefault="00461B14">
      <w:pPr>
        <w:pStyle w:val="a9"/>
        <w:numPr>
          <w:ilvl w:val="0"/>
          <w:numId w:val="18"/>
        </w:numPr>
      </w:pPr>
      <w:r w:rsidRPr="00461B14">
        <w:rPr>
          <w:b/>
          <w:bCs/>
        </w:rPr>
        <w:t>餐厅利润合计 153.5 亿美元</w:t>
      </w:r>
      <w:r>
        <w:t xml:space="preserve"> = 特许经营利润 139.3 亿美元 + 直营餐厅利润 14.2 亿美元。</w:t>
      </w:r>
    </w:p>
    <w:p w14:paraId="08DF10DA" w14:textId="36DEE343" w:rsidR="00461B14" w:rsidRDefault="00461B14">
      <w:pPr>
        <w:pStyle w:val="a9"/>
        <w:numPr>
          <w:ilvl w:val="0"/>
          <w:numId w:val="18"/>
        </w:numPr>
      </w:pPr>
      <w:r w:rsidRPr="00461B14">
        <w:rPr>
          <w:b/>
          <w:bCs/>
        </w:rPr>
        <w:t>加上：其他收入6.47亿美元，减去：其他餐厅费用5.64亿美元</w:t>
      </w:r>
      <w:r>
        <w:t>。这是一条特殊的线：公司为数字化和技术平台向加盟商收回成本，年报称这部分按"主要责任人"总额列示，费用记入其他餐厅费用，而且平台费"并非为公司创造毛利而设计"。此外还包含按销售额比例收取的消费品品牌授权收入。</w:t>
      </w:r>
    </w:p>
    <w:p w14:paraId="70962E4B" w14:textId="77777777" w:rsidR="00461B14" w:rsidRDefault="00461B14">
      <w:pPr>
        <w:pStyle w:val="a9"/>
        <w:numPr>
          <w:ilvl w:val="0"/>
          <w:numId w:val="18"/>
        </w:numPr>
      </w:pPr>
      <w:r w:rsidRPr="00F06D0D">
        <w:rPr>
          <w:b/>
          <w:bCs/>
        </w:rPr>
        <w:t>减去：SG&amp;A 30.4 亿美元</w:t>
      </w:r>
      <w:r w:rsidRPr="00F06D0D">
        <w:t>（</w:t>
      </w:r>
      <w:r>
        <w:t>其中折旧摊销 4.57 亿美元），这是不分配到单店的公司层面费用。</w:t>
      </w:r>
    </w:p>
    <w:p w14:paraId="4C7AEECD" w14:textId="77777777" w:rsidR="00461B14" w:rsidRDefault="00461B14">
      <w:pPr>
        <w:pStyle w:val="a9"/>
        <w:numPr>
          <w:ilvl w:val="0"/>
          <w:numId w:val="18"/>
        </w:numPr>
      </w:pPr>
      <w:r w:rsidRPr="00E50B2C">
        <w:rPr>
          <w:b/>
          <w:bCs/>
        </w:rPr>
        <w:t>加上：其他经营（收益）费用，净额</w:t>
      </w:r>
      <w:r>
        <w:t>。 2025 年合计为净费用 200 万美元，含出售餐厅收益、关联公司应占利润、资产处置，以及 2.29 亿美元减值与重组费用。</w:t>
      </w:r>
    </w:p>
    <w:p w14:paraId="61E2B29D" w14:textId="4717EA4D" w:rsidR="003C0BA4" w:rsidRDefault="00461B14">
      <w:pPr>
        <w:pStyle w:val="a9"/>
        <w:numPr>
          <w:ilvl w:val="0"/>
          <w:numId w:val="18"/>
        </w:numPr>
      </w:pPr>
      <w:r>
        <w:t>得到营业利润 123.9 亿美元。</w:t>
      </w:r>
    </w:p>
    <w:p w14:paraId="50EB08C7" w14:textId="77777777" w:rsidR="003C0BA4" w:rsidRDefault="003C0BA4" w:rsidP="003C0BA4"/>
    <w:p w14:paraId="4FB22C64" w14:textId="55D2C213" w:rsidR="00717CA8" w:rsidRPr="00717CA8" w:rsidRDefault="00717CA8">
      <w:pPr>
        <w:pStyle w:val="a9"/>
        <w:numPr>
          <w:ilvl w:val="0"/>
          <w:numId w:val="19"/>
        </w:numPr>
        <w:rPr>
          <w:b/>
          <w:bCs/>
        </w:rPr>
      </w:pPr>
      <w:r w:rsidRPr="00717CA8">
        <w:rPr>
          <w:b/>
          <w:bCs/>
        </w:rPr>
        <w:t>资产端</w:t>
      </w:r>
    </w:p>
    <w:p w14:paraId="015DCB21" w14:textId="77777777" w:rsidR="00717CA8" w:rsidRDefault="00717CA8">
      <w:pPr>
        <w:pStyle w:val="a9"/>
        <w:numPr>
          <w:ilvl w:val="0"/>
          <w:numId w:val="20"/>
        </w:numPr>
      </w:pPr>
      <w:r>
        <w:t>麦当劳持有的土地和建筑计入净物业与设备（2025 年年末 282.4 亿美元），其中特许经营安排下的物业净值约 228 亿美元（含土地 71 亿美元）。</w:t>
      </w:r>
    </w:p>
    <w:p w14:paraId="06465974" w14:textId="77777777" w:rsidR="00717CA8" w:rsidRDefault="00717CA8">
      <w:pPr>
        <w:pStyle w:val="a9"/>
        <w:numPr>
          <w:ilvl w:val="0"/>
          <w:numId w:val="20"/>
        </w:numPr>
      </w:pPr>
      <w:r>
        <w:t>麦当劳租入再转租给加盟商的场地，计入"租赁使用权资产"（146.1 亿美元）与对应的租赁负债（合计约 148.4 亿美元）。</w:t>
      </w:r>
    </w:p>
    <w:p w14:paraId="52D3E1CF" w14:textId="77777777" w:rsidR="003C0BA4" w:rsidRDefault="003C0BA4" w:rsidP="003C0BA4"/>
    <w:p w14:paraId="5A6335F3" w14:textId="19014861" w:rsidR="002C6774" w:rsidRDefault="001922D2" w:rsidP="002C6774">
      <w:pPr>
        <w:pStyle w:val="2"/>
      </w:pPr>
      <w:r>
        <w:rPr>
          <w:rFonts w:hint="eastAsia"/>
        </w:rPr>
        <w:t>行业</w:t>
      </w:r>
      <w:r w:rsidR="002C6774">
        <w:rPr>
          <w:rFonts w:hint="eastAsia"/>
        </w:rPr>
        <w:t>需求与供给</w:t>
      </w:r>
    </w:p>
    <w:p w14:paraId="2340A14B" w14:textId="5BFB2528" w:rsidR="001922D2" w:rsidRDefault="00D31581" w:rsidP="00D31581">
      <w:pPr>
        <w:pStyle w:val="3"/>
      </w:pPr>
      <w:r>
        <w:rPr>
          <w:rFonts w:hint="eastAsia"/>
        </w:rPr>
        <w:t>需求</w:t>
      </w:r>
      <w:r w:rsidR="00B312B8">
        <w:rPr>
          <w:rFonts w:hint="eastAsia"/>
        </w:rPr>
        <w:t>侧</w:t>
      </w:r>
    </w:p>
    <w:p w14:paraId="2168A629" w14:textId="612A1626" w:rsidR="0018291C" w:rsidRPr="00166ECE" w:rsidRDefault="00166ECE">
      <w:pPr>
        <w:pStyle w:val="a9"/>
        <w:numPr>
          <w:ilvl w:val="0"/>
          <w:numId w:val="12"/>
        </w:numPr>
        <w:rPr>
          <w:b/>
          <w:bCs/>
        </w:rPr>
      </w:pPr>
      <w:r w:rsidRPr="00166ECE">
        <w:rPr>
          <w:rFonts w:hint="eastAsia"/>
          <w:b/>
          <w:bCs/>
        </w:rPr>
        <w:t>结论</w:t>
      </w:r>
    </w:p>
    <w:p w14:paraId="005C5BFB" w14:textId="7FCC824A" w:rsidR="00166ECE" w:rsidRDefault="00BD1DAA" w:rsidP="003C0BA4">
      <w:r w:rsidRPr="00BD1DAA">
        <w:t>美国餐饮行业的长期需求仍在增长，但 2023 年以后，增长已从“消费量扩张”转向“价格上涨叠加少量实际增长”。2025 年餐饮名义销售额已达约 1.18 万亿美元，但剔除餐饮价格后，实际销售较 2022 年仅增长约 6.7%；2026 年前七个月实际增长进一步放缓至约 0.6%。因此，麦当劳未来不能把行业名义销售增长直接当作需求扩张，真正需要争夺的是停滞市场中的客流和份额。</w:t>
      </w:r>
    </w:p>
    <w:p w14:paraId="2EFD41D2" w14:textId="23AE06EE" w:rsidR="005F3C20" w:rsidRPr="00BD1DAA" w:rsidRDefault="00BD1DAA" w:rsidP="00BD1DAA">
      <w:pPr>
        <w:ind w:left="420"/>
        <w:rPr>
          <w:sz w:val="20"/>
          <w:szCs w:val="21"/>
        </w:rPr>
      </w:pPr>
      <w:r w:rsidRPr="00BD1DAA">
        <w:rPr>
          <w:sz w:val="20"/>
          <w:szCs w:val="21"/>
        </w:rPr>
        <w:lastRenderedPageBreak/>
        <w:t>数据口径为美国Census的Food Services and Drinking Places，包含全服务餐厅、快餐、酒吧等，并不等同于 QSR。实际销售为名义销售额除以BLS Food Away From Home CPI，2010年设为 100，是行业需求量的近似指标。</w:t>
      </w:r>
    </w:p>
    <w:p w14:paraId="69BCA736" w14:textId="77777777" w:rsidR="005F3C20" w:rsidRDefault="005F3C20" w:rsidP="003C0BA4"/>
    <w:p w14:paraId="6AEB6FB5" w14:textId="53F84235" w:rsidR="0014729C" w:rsidRDefault="0014729C" w:rsidP="0014729C">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1</w:t>
      </w:r>
      <w:r w:rsidR="00CC796E">
        <w:fldChar w:fldCharType="end"/>
      </w:r>
      <w:r>
        <w:rPr>
          <w:rFonts w:hint="eastAsia"/>
        </w:rPr>
        <w:t>：</w:t>
      </w:r>
      <w:r w:rsidRPr="001A712B">
        <w:t>餐饮行业需求</w:t>
      </w:r>
      <w:r w:rsidR="00577F09">
        <w:rPr>
          <w:rFonts w:hint="eastAsia"/>
        </w:rPr>
        <w:t>与价格</w:t>
      </w:r>
    </w:p>
    <w:p w14:paraId="54CF948C" w14:textId="389699B8" w:rsidR="0044595A" w:rsidRDefault="0014729C" w:rsidP="003C0BA4">
      <w:r w:rsidRPr="0014729C">
        <w:rPr>
          <w:noProof/>
        </w:rPr>
        <w:drawing>
          <wp:inline distT="0" distB="0" distL="0" distR="0" wp14:anchorId="04940AD5" wp14:editId="533110D4">
            <wp:extent cx="6645910" cy="3556635"/>
            <wp:effectExtent l="0" t="0" r="0" b="0"/>
            <wp:docPr id="1380630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30382" name=""/>
                    <pic:cNvPicPr/>
                  </pic:nvPicPr>
                  <pic:blipFill>
                    <a:blip r:embed="rId8"/>
                    <a:stretch>
                      <a:fillRect/>
                    </a:stretch>
                  </pic:blipFill>
                  <pic:spPr>
                    <a:xfrm>
                      <a:off x="0" y="0"/>
                      <a:ext cx="6645910" cy="3556635"/>
                    </a:xfrm>
                    <a:prstGeom prst="rect">
                      <a:avLst/>
                    </a:prstGeom>
                  </pic:spPr>
                </pic:pic>
              </a:graphicData>
            </a:graphic>
          </wp:inline>
        </w:drawing>
      </w:r>
    </w:p>
    <w:p w14:paraId="02B73755" w14:textId="056B805B" w:rsidR="00E76791" w:rsidRDefault="00E76791" w:rsidP="00E76791">
      <w:pPr>
        <w:pStyle w:val="ae"/>
        <w:keepNext/>
      </w:pPr>
      <w:r>
        <w:lastRenderedPageBreak/>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2</w:t>
      </w:r>
      <w:r w:rsidR="00CC796E">
        <w:fldChar w:fldCharType="end"/>
      </w:r>
      <w:r>
        <w:rPr>
          <w:rFonts w:hint="eastAsia"/>
        </w:rPr>
        <w:t>：餐饮业时薪与就业</w:t>
      </w:r>
    </w:p>
    <w:p w14:paraId="5FA91DF0" w14:textId="29D80210" w:rsidR="00337BC3" w:rsidRDefault="00E76791" w:rsidP="003C0BA4">
      <w:r w:rsidRPr="00E76791">
        <w:rPr>
          <w:noProof/>
        </w:rPr>
        <w:drawing>
          <wp:inline distT="0" distB="0" distL="0" distR="0" wp14:anchorId="7E3EEAA3" wp14:editId="4D419BCC">
            <wp:extent cx="5159749" cy="5000017"/>
            <wp:effectExtent l="0" t="0" r="0" b="3810"/>
            <wp:docPr id="8806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8851" name=""/>
                    <pic:cNvPicPr/>
                  </pic:nvPicPr>
                  <pic:blipFill>
                    <a:blip r:embed="rId9"/>
                    <a:stretch>
                      <a:fillRect/>
                    </a:stretch>
                  </pic:blipFill>
                  <pic:spPr>
                    <a:xfrm>
                      <a:off x="0" y="0"/>
                      <a:ext cx="5182854" cy="5022406"/>
                    </a:xfrm>
                    <a:prstGeom prst="rect">
                      <a:avLst/>
                    </a:prstGeom>
                  </pic:spPr>
                </pic:pic>
              </a:graphicData>
            </a:graphic>
          </wp:inline>
        </w:drawing>
      </w:r>
    </w:p>
    <w:p w14:paraId="62C0CB71" w14:textId="1233C2D5" w:rsidR="0031172C" w:rsidRPr="0031172C" w:rsidRDefault="0031172C">
      <w:pPr>
        <w:pStyle w:val="a9"/>
        <w:numPr>
          <w:ilvl w:val="0"/>
          <w:numId w:val="19"/>
        </w:numPr>
        <w:rPr>
          <w:b/>
          <w:bCs/>
        </w:rPr>
      </w:pPr>
      <w:r w:rsidRPr="0031172C">
        <w:rPr>
          <w:rFonts w:hint="eastAsia"/>
          <w:b/>
          <w:bCs/>
        </w:rPr>
        <w:t>三个阶段</w:t>
      </w:r>
    </w:p>
    <w:p w14:paraId="3E0F2960" w14:textId="636DC689" w:rsidR="0044595A" w:rsidRPr="002F3EF7" w:rsidRDefault="002F3EF7" w:rsidP="003C0BA4">
      <w:pPr>
        <w:rPr>
          <w:b/>
          <w:bCs/>
        </w:rPr>
      </w:pPr>
      <w:r w:rsidRPr="002F3EF7">
        <w:rPr>
          <w:rFonts w:hint="eastAsia"/>
          <w:b/>
          <w:bCs/>
        </w:rPr>
        <w:t>2010-2019</w:t>
      </w:r>
      <w:r w:rsidR="00315A1B" w:rsidRPr="00315A1B">
        <w:rPr>
          <w:b/>
          <w:bCs/>
        </w:rPr>
        <w:t>：</w:t>
      </w:r>
      <w:r w:rsidRPr="002F3EF7">
        <w:rPr>
          <w:rFonts w:hint="eastAsia"/>
          <w:b/>
          <w:bCs/>
        </w:rPr>
        <w:t>真实需求稳定扩张</w:t>
      </w:r>
    </w:p>
    <w:p w14:paraId="417C5259" w14:textId="07A370E6" w:rsidR="00A102F9" w:rsidRDefault="00A102F9" w:rsidP="00A102F9">
      <w:r>
        <w:t>2010–2019 年，餐饮名义销售额增长 66.3%，餐饮价格上涨25.8%，剔除价格后实际销售增长约32.2%。</w:t>
      </w:r>
    </w:p>
    <w:p w14:paraId="596FFAB2" w14:textId="77777777" w:rsidR="00A102F9" w:rsidRDefault="00A102F9" w:rsidP="00A102F9">
      <w:r>
        <w:t>同期餐饮业就业增加约 29%，平均时薪上涨约 31%。这说明疫情前的行业增长并非完全由涨价推动，而是由以下因素共同构成：</w:t>
      </w:r>
    </w:p>
    <w:p w14:paraId="37F171C1" w14:textId="58C4D972" w:rsidR="00A102F9" w:rsidRDefault="00A102F9">
      <w:pPr>
        <w:pStyle w:val="a9"/>
        <w:numPr>
          <w:ilvl w:val="1"/>
          <w:numId w:val="44"/>
        </w:numPr>
      </w:pPr>
      <w:r>
        <w:t>外出就餐频次增加；</w:t>
      </w:r>
    </w:p>
    <w:p w14:paraId="44A5D2F4" w14:textId="2BD69844" w:rsidR="00A102F9" w:rsidRDefault="00A102F9">
      <w:pPr>
        <w:pStyle w:val="a9"/>
        <w:numPr>
          <w:ilvl w:val="1"/>
          <w:numId w:val="44"/>
        </w:numPr>
      </w:pPr>
      <w:r>
        <w:t>餐饮就业和门店供给扩张；</w:t>
      </w:r>
    </w:p>
    <w:p w14:paraId="289AAC50" w14:textId="1F991DE5" w:rsidR="00A102F9" w:rsidRDefault="00A102F9">
      <w:pPr>
        <w:pStyle w:val="a9"/>
        <w:numPr>
          <w:ilvl w:val="1"/>
          <w:numId w:val="44"/>
        </w:numPr>
      </w:pPr>
      <w:r>
        <w:t>家庭外食场景持续渗透；</w:t>
      </w:r>
    </w:p>
    <w:p w14:paraId="50D15274" w14:textId="199B445F" w:rsidR="00A102F9" w:rsidRDefault="00A102F9">
      <w:pPr>
        <w:pStyle w:val="a9"/>
        <w:numPr>
          <w:ilvl w:val="1"/>
          <w:numId w:val="44"/>
        </w:numPr>
      </w:pPr>
      <w:r>
        <w:t>快餐、休闲餐饮和外卖等消费场景扩大。</w:t>
      </w:r>
    </w:p>
    <w:p w14:paraId="7E585B39" w14:textId="0954FA5F" w:rsidR="0044595A" w:rsidRDefault="00A102F9" w:rsidP="00A102F9">
      <w:r>
        <w:t>这一阶段可以视为美国餐饮行业的正常需求增长基准。</w:t>
      </w:r>
    </w:p>
    <w:p w14:paraId="6F046A99" w14:textId="77777777" w:rsidR="00C37DEA" w:rsidRDefault="00C37DEA" w:rsidP="00A102F9"/>
    <w:p w14:paraId="75EB29F6" w14:textId="768F8C8D" w:rsidR="0044595A" w:rsidRPr="00315A1B" w:rsidRDefault="00315A1B" w:rsidP="003C0BA4">
      <w:pPr>
        <w:rPr>
          <w:b/>
          <w:bCs/>
        </w:rPr>
      </w:pPr>
      <w:r w:rsidRPr="00315A1B">
        <w:rPr>
          <w:b/>
          <w:bCs/>
        </w:rPr>
        <w:t>2020–2022：疫情冲击后的价格重估与消费恢复</w:t>
      </w:r>
    </w:p>
    <w:p w14:paraId="3D640304" w14:textId="77777777" w:rsidR="00E55E2C" w:rsidRDefault="00E55E2C" w:rsidP="00E55E2C">
      <w:r>
        <w:t>2020 年名义销售下降 15.4%，实际销售下降 18.2%，餐饮就业减少约 18%。这反映的是消费场景中断，而非价格问题。</w:t>
      </w:r>
    </w:p>
    <w:p w14:paraId="40D47563" w14:textId="77777777" w:rsidR="00E55E2C" w:rsidRDefault="00E55E2C" w:rsidP="00E55E2C">
      <w:r>
        <w:lastRenderedPageBreak/>
        <w:t>2021–2022 年名义销售快速反弹，但结构已经发生变化：</w:t>
      </w:r>
    </w:p>
    <w:p w14:paraId="31A83500" w14:textId="0C72970F" w:rsidR="00E55E2C" w:rsidRDefault="00E55E2C">
      <w:pPr>
        <w:pStyle w:val="a9"/>
        <w:numPr>
          <w:ilvl w:val="1"/>
          <w:numId w:val="45"/>
        </w:numPr>
      </w:pPr>
      <w:r>
        <w:t>2021 年名义销售增长 28.9%，实际销售增长 23.3%；</w:t>
      </w:r>
    </w:p>
    <w:p w14:paraId="1D061945" w14:textId="567A2916" w:rsidR="00E55E2C" w:rsidRDefault="00E55E2C">
      <w:pPr>
        <w:pStyle w:val="a9"/>
        <w:numPr>
          <w:ilvl w:val="1"/>
          <w:numId w:val="45"/>
        </w:numPr>
      </w:pPr>
      <w:r>
        <w:t>2022 年名义销售增长 16.0%，实际销售增长仅 7.7%；</w:t>
      </w:r>
    </w:p>
    <w:p w14:paraId="0E041E7F" w14:textId="50772F5C" w:rsidR="00E55E2C" w:rsidRDefault="00E55E2C">
      <w:pPr>
        <w:pStyle w:val="a9"/>
        <w:numPr>
          <w:ilvl w:val="1"/>
          <w:numId w:val="45"/>
        </w:numPr>
      </w:pPr>
      <w:r>
        <w:t>2022 年餐饮价格上涨 7.7%，家庭食品价格上涨 11.4%。</w:t>
      </w:r>
    </w:p>
    <w:p w14:paraId="7728954A" w14:textId="4F12AAFA" w:rsidR="005F3C20" w:rsidRDefault="00E55E2C" w:rsidP="00E55E2C">
      <w:r>
        <w:t>2021 年主要是消费场景恢复，2022 年开始明显转向价格驱动。家庭食品价格当时上涨更快，部分缓解了外出就餐的相对价格压力；但这种有利条件随后消失。</w:t>
      </w:r>
    </w:p>
    <w:p w14:paraId="4242373F" w14:textId="77777777" w:rsidR="00F22141" w:rsidRDefault="00F22141" w:rsidP="003C0BA4"/>
    <w:p w14:paraId="3470CFC0" w14:textId="6CA7B69E" w:rsidR="00F22141" w:rsidRPr="007A22A9" w:rsidRDefault="007A22A9" w:rsidP="003C0BA4">
      <w:pPr>
        <w:rPr>
          <w:b/>
          <w:bCs/>
        </w:rPr>
      </w:pPr>
      <w:r w:rsidRPr="007A22A9">
        <w:rPr>
          <w:b/>
          <w:bCs/>
        </w:rPr>
        <w:t>2023–2025：行业进入低实际增长阶段</w:t>
      </w:r>
    </w:p>
    <w:p w14:paraId="0B1CC0BC" w14:textId="2B8D3CB2" w:rsidR="00F22141" w:rsidRDefault="003F387E" w:rsidP="003C0BA4">
      <w:r w:rsidRPr="003F387E">
        <w:t>2023–2025 年名义餐饮销售额增长 10.8%，但实际销售仅增长约 2.6%，年均实际增长不足 1%。</w:t>
      </w:r>
    </w:p>
    <w:p w14:paraId="0AAC7FE7" w14:textId="7F1547C0" w:rsidR="00026C9A" w:rsidRDefault="003F387E" w:rsidP="003C0BA4">
      <w:r w:rsidRPr="003F387E">
        <w:rPr>
          <w:noProof/>
        </w:rPr>
        <w:drawing>
          <wp:inline distT="0" distB="0" distL="0" distR="0" wp14:anchorId="6E6E7AFF" wp14:editId="16F6CD9B">
            <wp:extent cx="5350213" cy="1453851"/>
            <wp:effectExtent l="0" t="0" r="0" b="0"/>
            <wp:docPr id="175588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8679" name=""/>
                    <pic:cNvPicPr/>
                  </pic:nvPicPr>
                  <pic:blipFill>
                    <a:blip r:embed="rId10"/>
                    <a:stretch>
                      <a:fillRect/>
                    </a:stretch>
                  </pic:blipFill>
                  <pic:spPr>
                    <a:xfrm>
                      <a:off x="0" y="0"/>
                      <a:ext cx="5413193" cy="1470965"/>
                    </a:xfrm>
                    <a:prstGeom prst="rect">
                      <a:avLst/>
                    </a:prstGeom>
                  </pic:spPr>
                </pic:pic>
              </a:graphicData>
            </a:graphic>
          </wp:inline>
        </w:drawing>
      </w:r>
    </w:p>
    <w:p w14:paraId="237F490B" w14:textId="77777777" w:rsidR="000E3C00" w:rsidRDefault="000E3C00" w:rsidP="000E3C00">
      <w:r>
        <w:t>这意味着 2023 年以后，行业名义增长的大部分来自价格，而非消费量增加。2024 年实际销售几乎停滞，2025 年仅出现弱恢复。</w:t>
      </w:r>
    </w:p>
    <w:p w14:paraId="7B7CCFC5" w14:textId="64E3FA21" w:rsidR="00026C9A" w:rsidRDefault="000E3C00" w:rsidP="000E3C00">
      <w:r>
        <w:t>这与麦当劳自身 2024 年同店增长明显放缓的背景相互印证，但这种压力并非只来自麦当劳经营执行，而是整个餐饮市场的实际需求都已从高增长转为低增长。</w:t>
      </w:r>
    </w:p>
    <w:p w14:paraId="3CCC67F9" w14:textId="77777777" w:rsidR="00F22141" w:rsidRDefault="00F22141" w:rsidP="003C0BA4"/>
    <w:p w14:paraId="214F583F" w14:textId="1E77DC27" w:rsidR="0031172C" w:rsidRPr="0031172C" w:rsidRDefault="0031172C">
      <w:pPr>
        <w:pStyle w:val="a9"/>
        <w:numPr>
          <w:ilvl w:val="0"/>
          <w:numId w:val="19"/>
        </w:numPr>
        <w:rPr>
          <w:b/>
          <w:bCs/>
        </w:rPr>
      </w:pPr>
      <w:r w:rsidRPr="0031172C">
        <w:rPr>
          <w:rFonts w:hint="eastAsia"/>
          <w:b/>
          <w:bCs/>
        </w:rPr>
        <w:t>餐饮相对家庭食品的价格压力</w:t>
      </w:r>
    </w:p>
    <w:p w14:paraId="58F378C7" w14:textId="2AC1516C" w:rsidR="00A177EE" w:rsidRDefault="00A177EE" w:rsidP="00A177EE">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3</w:t>
      </w:r>
      <w:r w:rsidR="00CC796E">
        <w:fldChar w:fldCharType="end"/>
      </w:r>
      <w:r>
        <w:rPr>
          <w:rFonts w:hint="eastAsia"/>
        </w:rPr>
        <w:t>：餐饮相对家庭食品的价格压力</w:t>
      </w:r>
    </w:p>
    <w:p w14:paraId="1E6DF751" w14:textId="7EACCC8A" w:rsidR="00EC34AB" w:rsidRDefault="00A177EE" w:rsidP="003C0BA4">
      <w:r w:rsidRPr="00A177EE">
        <w:rPr>
          <w:noProof/>
        </w:rPr>
        <w:drawing>
          <wp:inline distT="0" distB="0" distL="0" distR="0" wp14:anchorId="462FC457" wp14:editId="538BBE1B">
            <wp:extent cx="5349875" cy="1743591"/>
            <wp:effectExtent l="0" t="0" r="0" b="0"/>
            <wp:docPr id="83523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3188" name=""/>
                    <pic:cNvPicPr/>
                  </pic:nvPicPr>
                  <pic:blipFill>
                    <a:blip r:embed="rId11"/>
                    <a:stretch>
                      <a:fillRect/>
                    </a:stretch>
                  </pic:blipFill>
                  <pic:spPr>
                    <a:xfrm>
                      <a:off x="0" y="0"/>
                      <a:ext cx="5389192" cy="1756405"/>
                    </a:xfrm>
                    <a:prstGeom prst="rect">
                      <a:avLst/>
                    </a:prstGeom>
                  </pic:spPr>
                </pic:pic>
              </a:graphicData>
            </a:graphic>
          </wp:inline>
        </w:drawing>
      </w:r>
    </w:p>
    <w:p w14:paraId="04204940" w14:textId="581ACC01" w:rsidR="00EC34AB" w:rsidRDefault="00AC7D5E" w:rsidP="003C0BA4">
      <w:r w:rsidRPr="00AC7D5E">
        <w:t>餐饮价格和家庭食品价格的差异，是判断消费者是否继续外出就餐的重要变量。</w:t>
      </w:r>
    </w:p>
    <w:p w14:paraId="3CBA7110" w14:textId="77777777" w:rsidR="00640FAE" w:rsidRDefault="00640FAE" w:rsidP="00640FAE">
      <w:r>
        <w:t>2010–2019 年，餐饮相对家庭食品已经持续变贵，但实际餐饮需求仍增长 32.2%，说明当时消费者收入、就业和生活方式变化足以抵消相对价格上涨。</w:t>
      </w:r>
    </w:p>
    <w:p w14:paraId="579034E6" w14:textId="77777777" w:rsidR="00640FAE" w:rsidRDefault="00640FAE" w:rsidP="00640FAE">
      <w:r>
        <w:t>2022 年以后，餐饮相对家庭食品再次明显变贵，而实际需求增长已经接近停滞。消费者并不是完全停止外出就餐，而是更容易在“外出就餐、家庭烹饪、便利店即食、外卖”等场景之间进行切换。</w:t>
      </w:r>
    </w:p>
    <w:p w14:paraId="074E3EBD" w14:textId="524A3D56" w:rsidR="00AC7D5E" w:rsidRDefault="00640FAE" w:rsidP="00640FAE">
      <w:r>
        <w:lastRenderedPageBreak/>
        <w:t>对麦当劳而言，这提高了“价值感”的重要性，但也产生一个约束：</w:t>
      </w:r>
      <w:r w:rsidRPr="003C6B99">
        <w:rPr>
          <w:b/>
          <w:bCs/>
        </w:rPr>
        <w:t>如果全行业实际需求不再扩张，价值促销带来的客流增长更多来自竞争对手的份额转移，而不是新增市场需求</w:t>
      </w:r>
      <w:r>
        <w:t>。</w:t>
      </w:r>
    </w:p>
    <w:p w14:paraId="269D1E09" w14:textId="50FB3AC2" w:rsidR="00AC7D5E" w:rsidRPr="00385714" w:rsidRDefault="005070F7">
      <w:pPr>
        <w:pStyle w:val="a9"/>
        <w:numPr>
          <w:ilvl w:val="0"/>
          <w:numId w:val="19"/>
        </w:numPr>
        <w:rPr>
          <w:b/>
          <w:bCs/>
        </w:rPr>
      </w:pPr>
      <w:r w:rsidRPr="005070F7">
        <w:rPr>
          <w:rFonts w:hint="eastAsia"/>
          <w:b/>
          <w:bCs/>
        </w:rPr>
        <w:t>2026年最新状态</w:t>
      </w:r>
    </w:p>
    <w:p w14:paraId="1B2ADED2" w14:textId="41373BCC" w:rsidR="002B2440" w:rsidRDefault="002B2440" w:rsidP="002B2440">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4</w:t>
      </w:r>
      <w:r w:rsidR="00CC796E">
        <w:fldChar w:fldCharType="end"/>
      </w:r>
      <w:r>
        <w:rPr>
          <w:rFonts w:hint="eastAsia"/>
        </w:rPr>
        <w:t>：</w:t>
      </w:r>
      <w:r>
        <w:rPr>
          <w:rFonts w:hint="eastAsia"/>
        </w:rPr>
        <w:t>2026</w:t>
      </w:r>
      <w:r>
        <w:rPr>
          <w:rFonts w:hint="eastAsia"/>
        </w:rPr>
        <w:t>年</w:t>
      </w:r>
      <w:r>
        <w:rPr>
          <w:rFonts w:hint="eastAsia"/>
        </w:rPr>
        <w:t>1-7</w:t>
      </w:r>
      <w:r>
        <w:rPr>
          <w:rFonts w:hint="eastAsia"/>
        </w:rPr>
        <w:t>月同比</w:t>
      </w:r>
    </w:p>
    <w:p w14:paraId="2989CA85" w14:textId="17EFF805" w:rsidR="005070F7" w:rsidRDefault="002B2440" w:rsidP="003C0BA4">
      <w:r w:rsidRPr="002B2440">
        <w:rPr>
          <w:noProof/>
        </w:rPr>
        <w:drawing>
          <wp:inline distT="0" distB="0" distL="0" distR="0" wp14:anchorId="6C0A9CF9" wp14:editId="1304FFC4">
            <wp:extent cx="2062264" cy="2039929"/>
            <wp:effectExtent l="0" t="0" r="0" b="5080"/>
            <wp:docPr id="174959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90717" name=""/>
                    <pic:cNvPicPr/>
                  </pic:nvPicPr>
                  <pic:blipFill>
                    <a:blip r:embed="rId12"/>
                    <a:stretch>
                      <a:fillRect/>
                    </a:stretch>
                  </pic:blipFill>
                  <pic:spPr>
                    <a:xfrm>
                      <a:off x="0" y="0"/>
                      <a:ext cx="2075801" cy="2053319"/>
                    </a:xfrm>
                    <a:prstGeom prst="rect">
                      <a:avLst/>
                    </a:prstGeom>
                  </pic:spPr>
                </pic:pic>
              </a:graphicData>
            </a:graphic>
          </wp:inline>
        </w:drawing>
      </w:r>
    </w:p>
    <w:p w14:paraId="7C98040E" w14:textId="77777777" w:rsidR="00A2614F" w:rsidRDefault="00A2614F" w:rsidP="00A2614F">
      <w:r>
        <w:t>2026 年的关键特征是：名义销售仍有约 4%的增长，但剔除价格后几乎没有实际增长。换言之，行业仍在增长，但主要表现为价格增长；真实消费量已经接近平台期。</w:t>
      </w:r>
    </w:p>
    <w:p w14:paraId="5C2BE9AF" w14:textId="6EE07D67" w:rsidR="005070F7" w:rsidRDefault="00A2614F" w:rsidP="00A2614F">
      <w:r>
        <w:t>就业仍增长约 1.2%，说明行业供给没有出现大规模收缩，但工资增长约 3.5%，高于实际需求增长。这会压缩单店经营弹性，也会抬高加盟商新店和翻新的回报要求。</w:t>
      </w:r>
    </w:p>
    <w:p w14:paraId="18C0EDE3" w14:textId="77777777" w:rsidR="0018291C" w:rsidRDefault="0018291C" w:rsidP="003C0BA4"/>
    <w:p w14:paraId="67A0E01F" w14:textId="7C01C85E" w:rsidR="001922D2" w:rsidRDefault="00B312B8" w:rsidP="003C4AE0">
      <w:pPr>
        <w:pStyle w:val="3"/>
      </w:pPr>
      <w:r>
        <w:rPr>
          <w:rFonts w:hint="eastAsia"/>
        </w:rPr>
        <w:t>供给侧</w:t>
      </w:r>
    </w:p>
    <w:p w14:paraId="4FA76F91" w14:textId="3D18EBBE" w:rsidR="001922D2" w:rsidRPr="002878A5" w:rsidRDefault="002878A5">
      <w:pPr>
        <w:pStyle w:val="a9"/>
        <w:numPr>
          <w:ilvl w:val="0"/>
          <w:numId w:val="12"/>
        </w:numPr>
        <w:rPr>
          <w:b/>
          <w:bCs/>
        </w:rPr>
      </w:pPr>
      <w:r w:rsidRPr="002878A5">
        <w:rPr>
          <w:rFonts w:hint="eastAsia"/>
          <w:b/>
          <w:bCs/>
        </w:rPr>
        <w:t>结论</w:t>
      </w:r>
    </w:p>
    <w:p w14:paraId="6AD6E764" w14:textId="37A0FEB4" w:rsidR="002878A5" w:rsidRDefault="00C80B74" w:rsidP="003C0BA4">
      <w:r w:rsidRPr="00C80B74">
        <w:t>供给侧的核心矛盾并不是餐厅或供应商数量不足，而是劳动力、食材和资本等关键要素的成本与可获得性正在抬升。长期看，餐饮业工资持续上涨、熟练劳动力供给趋紧，叠加牛肉等核心食材受生物周期影响，行业成本曲线已经较疫情前上移；近几年玉米、豆粕等饲料及部分大宗商品价格有所回落，但美国肉牛存栏和犊牛产量仍处低位，牛肉成本压力尚未真正解除，同时融资和建设成本提高了新增门店及翻新的投资门槛。麦当劳的供应链体系能够通过标准、规模采购和供应商管理降低食品安全与供应波动风险，却无法消除加盟商对工资、食材和租赁资本成本的承担。因此，未来行业供给能力仍在，但利润空间和扩张速度将更多取决于企业能否提升单店生产率、消化结构性成本上涨，并等待肉牛供给和劳动力市场逐步修复。</w:t>
      </w:r>
    </w:p>
    <w:p w14:paraId="7F30E734" w14:textId="77777777" w:rsidR="002878A5" w:rsidRDefault="002878A5" w:rsidP="003C0BA4"/>
    <w:p w14:paraId="4BC985E8" w14:textId="40C66DEF" w:rsidR="000C0E10" w:rsidRPr="000C0E10" w:rsidRDefault="000C0E10">
      <w:pPr>
        <w:pStyle w:val="a9"/>
        <w:numPr>
          <w:ilvl w:val="0"/>
          <w:numId w:val="19"/>
        </w:numPr>
        <w:rPr>
          <w:b/>
          <w:bCs/>
        </w:rPr>
      </w:pPr>
      <w:r w:rsidRPr="000C0E10">
        <w:rPr>
          <w:rFonts w:hint="eastAsia"/>
          <w:b/>
          <w:bCs/>
        </w:rPr>
        <w:t>劳动力</w:t>
      </w:r>
    </w:p>
    <w:p w14:paraId="612EAC1A" w14:textId="29878585" w:rsidR="00513FAE" w:rsidRDefault="00513FAE" w:rsidP="00513FAE">
      <w:pPr>
        <w:pStyle w:val="ae"/>
        <w:keepNext/>
      </w:pPr>
      <w:r>
        <w:lastRenderedPageBreak/>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5</w:t>
      </w:r>
      <w:r w:rsidR="00CC796E">
        <w:fldChar w:fldCharType="end"/>
      </w:r>
      <w:r>
        <w:rPr>
          <w:rFonts w:hint="eastAsia"/>
        </w:rPr>
        <w:t>：餐饮行业劳动力与就业</w:t>
      </w:r>
    </w:p>
    <w:p w14:paraId="56E77CF4" w14:textId="1B247E59" w:rsidR="002878A5" w:rsidRPr="00580CD3" w:rsidRDefault="00580CD3" w:rsidP="003C0BA4">
      <w:r w:rsidRPr="00580CD3">
        <w:rPr>
          <w:noProof/>
        </w:rPr>
        <w:drawing>
          <wp:inline distT="0" distB="0" distL="0" distR="0" wp14:anchorId="620FDF04" wp14:editId="5322DE82">
            <wp:extent cx="5739319" cy="1567263"/>
            <wp:effectExtent l="0" t="0" r="1270" b="0"/>
            <wp:docPr id="1752015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15839" name=""/>
                    <pic:cNvPicPr/>
                  </pic:nvPicPr>
                  <pic:blipFill>
                    <a:blip r:embed="rId13"/>
                    <a:stretch>
                      <a:fillRect/>
                    </a:stretch>
                  </pic:blipFill>
                  <pic:spPr>
                    <a:xfrm>
                      <a:off x="0" y="0"/>
                      <a:ext cx="5774597" cy="1576897"/>
                    </a:xfrm>
                    <a:prstGeom prst="rect">
                      <a:avLst/>
                    </a:prstGeom>
                  </pic:spPr>
                </pic:pic>
              </a:graphicData>
            </a:graphic>
          </wp:inline>
        </w:drawing>
      </w:r>
    </w:p>
    <w:p w14:paraId="29CEF2D7" w14:textId="77777777" w:rsidR="00A63A62" w:rsidRDefault="00A63A62" w:rsidP="00A63A62">
      <w:r>
        <w:t>2010–2019 年，餐饮业就业增长约 29%，行业可以通过增加员工和工时扩张供给。</w:t>
      </w:r>
    </w:p>
    <w:p w14:paraId="0346DF07" w14:textId="77777777" w:rsidR="00A63A62" w:rsidRDefault="00A63A62" w:rsidP="00A63A62">
      <w:r>
        <w:t>但 2019–2025 年，餐饮就业几乎没有增加，平均周工时也略有下降，而平均时薪上涨约 40%。这说明疫情后的行业恢复主要是把原有产能恢复回来，新增劳动力供给并不充裕。</w:t>
      </w:r>
    </w:p>
    <w:p w14:paraId="50E6B681" w14:textId="77777777" w:rsidR="00A63A62" w:rsidRDefault="00A63A62" w:rsidP="00A63A62">
      <w:r>
        <w:t>2026 年最新数据也没有显示劳动力供给重新加速：</w:t>
      </w:r>
    </w:p>
    <w:p w14:paraId="3DF45E17" w14:textId="0FDDE8CA" w:rsidR="00A63A62" w:rsidRDefault="00A63A62">
      <w:pPr>
        <w:pStyle w:val="a9"/>
        <w:numPr>
          <w:ilvl w:val="0"/>
          <w:numId w:val="46"/>
        </w:numPr>
      </w:pPr>
      <w:r>
        <w:t>2026 年 1–7 月平均时薪同比约上涨 3.5%；</w:t>
      </w:r>
    </w:p>
    <w:p w14:paraId="62CA600F" w14:textId="054C4B77" w:rsidR="00A63A62" w:rsidRDefault="00A63A62">
      <w:pPr>
        <w:pStyle w:val="a9"/>
        <w:numPr>
          <w:ilvl w:val="0"/>
          <w:numId w:val="46"/>
        </w:numPr>
      </w:pPr>
      <w:r>
        <w:t>就业同比约增长 1.2%；</w:t>
      </w:r>
    </w:p>
    <w:p w14:paraId="08D41923" w14:textId="68DA4F43" w:rsidR="00A63A62" w:rsidRDefault="00A63A62">
      <w:pPr>
        <w:pStyle w:val="a9"/>
        <w:numPr>
          <w:ilvl w:val="0"/>
          <w:numId w:val="46"/>
        </w:numPr>
      </w:pPr>
      <w:r>
        <w:t>平均周工时约 25 小时，基本稳定。</w:t>
      </w:r>
    </w:p>
    <w:p w14:paraId="787FB9D3" w14:textId="4BD50697" w:rsidR="002878A5" w:rsidRDefault="00A63A62" w:rsidP="00A63A62">
      <w:r>
        <w:t>因此，餐饮行业目前仍能维持门店运营，但劳动力不再是低成本、无限扩张的要素。</w:t>
      </w:r>
    </w:p>
    <w:p w14:paraId="4E8020C5" w14:textId="77777777" w:rsidR="003C4AE0" w:rsidRDefault="003C4AE0" w:rsidP="003C0BA4"/>
    <w:p w14:paraId="4C8E2829" w14:textId="77777777" w:rsidR="000C0E10" w:rsidRDefault="000C0E10" w:rsidP="000C0E10">
      <w:r>
        <w:t>用实际餐饮销售额除以“就业×平均周工时”构造一个粗略劳动生产率指标：</w:t>
      </w:r>
    </w:p>
    <w:p w14:paraId="04A78923" w14:textId="2B71BFCD" w:rsidR="000C0E10" w:rsidRDefault="000C0E10">
      <w:pPr>
        <w:pStyle w:val="a9"/>
        <w:numPr>
          <w:ilvl w:val="0"/>
          <w:numId w:val="47"/>
        </w:numPr>
      </w:pPr>
      <w:r>
        <w:t>2019–2025 年实际销售增长约 16%；</w:t>
      </w:r>
    </w:p>
    <w:p w14:paraId="2A44A7D5" w14:textId="7D5FAE5D" w:rsidR="000C0E10" w:rsidRDefault="000C0E10">
      <w:pPr>
        <w:pStyle w:val="a9"/>
        <w:numPr>
          <w:ilvl w:val="0"/>
          <w:numId w:val="47"/>
        </w:numPr>
      </w:pPr>
      <w:r>
        <w:t>同期劳动投入基本没有增长；</w:t>
      </w:r>
    </w:p>
    <w:p w14:paraId="26E75EFC" w14:textId="0062FA25" w:rsidR="000C0E10" w:rsidRDefault="000C0E10">
      <w:pPr>
        <w:pStyle w:val="a9"/>
        <w:numPr>
          <w:ilvl w:val="0"/>
          <w:numId w:val="47"/>
        </w:numPr>
      </w:pPr>
      <w:r>
        <w:t>粗略劳动生产率提升约 16%。</w:t>
      </w:r>
    </w:p>
    <w:p w14:paraId="1533C3C3" w14:textId="77777777" w:rsidR="000C0E10" w:rsidRDefault="000C0E10" w:rsidP="000C0E10">
      <w:r>
        <w:t>这说明行业通过数字化点单、外卖和得来速、流程优化、减少低效工时等方式提高了单位劳动产出。</w:t>
      </w:r>
    </w:p>
    <w:p w14:paraId="7DE9DDFD" w14:textId="77777777" w:rsidR="000C0E10" w:rsidRDefault="000C0E10" w:rsidP="000C0E10">
      <w:r>
        <w:t>但这个结论不能简单理解为门店利润同步改善，因为：</w:t>
      </w:r>
    </w:p>
    <w:p w14:paraId="0FF61E10" w14:textId="78342541" w:rsidR="000C0E10" w:rsidRDefault="000C0E10">
      <w:pPr>
        <w:pStyle w:val="a9"/>
        <w:numPr>
          <w:ilvl w:val="0"/>
          <w:numId w:val="48"/>
        </w:numPr>
      </w:pPr>
      <w:r>
        <w:t>行业销售额包含价格调整误差；</w:t>
      </w:r>
    </w:p>
    <w:p w14:paraId="6FEBF58C" w14:textId="23566FA6" w:rsidR="000C0E10" w:rsidRDefault="000C0E10">
      <w:pPr>
        <w:pStyle w:val="a9"/>
        <w:numPr>
          <w:ilvl w:val="0"/>
          <w:numId w:val="48"/>
        </w:numPr>
      </w:pPr>
      <w:r>
        <w:t>就业和周工时是行业平均数，不是门店级数据；</w:t>
      </w:r>
    </w:p>
    <w:p w14:paraId="4A37DC5E" w14:textId="67A552C2" w:rsidR="000C0E10" w:rsidRDefault="000C0E10">
      <w:pPr>
        <w:pStyle w:val="a9"/>
        <w:numPr>
          <w:ilvl w:val="0"/>
          <w:numId w:val="48"/>
        </w:numPr>
      </w:pPr>
      <w:r>
        <w:t>生产率提升可能来自工作量转移给消费者或平台，而不完全是技术进步。</w:t>
      </w:r>
    </w:p>
    <w:p w14:paraId="763C525D" w14:textId="5C0DDA30" w:rsidR="00840077" w:rsidRDefault="000C0E10" w:rsidP="000C0E10">
      <w:r>
        <w:t>所以，劳动生产率改善缓解了工资压力，但还不足以证明加盟商回报已经恢复。</w:t>
      </w:r>
    </w:p>
    <w:p w14:paraId="19E47D81" w14:textId="77777777" w:rsidR="00CC32AC" w:rsidRDefault="00CC32AC" w:rsidP="000C0E10"/>
    <w:p w14:paraId="26828B14" w14:textId="2A8CDF85" w:rsidR="0087036B" w:rsidRPr="00CC32AC" w:rsidRDefault="006723B9">
      <w:pPr>
        <w:pStyle w:val="a9"/>
        <w:numPr>
          <w:ilvl w:val="0"/>
          <w:numId w:val="19"/>
        </w:numPr>
        <w:rPr>
          <w:b/>
          <w:bCs/>
        </w:rPr>
      </w:pPr>
      <w:r w:rsidRPr="006723B9">
        <w:rPr>
          <w:rFonts w:hint="eastAsia"/>
          <w:b/>
          <w:bCs/>
        </w:rPr>
        <w:t>食材成本</w:t>
      </w:r>
    </w:p>
    <w:p w14:paraId="55317852" w14:textId="3625202A" w:rsidR="00AE45E6" w:rsidRDefault="00AE45E6" w:rsidP="00AE45E6">
      <w:pPr>
        <w:pStyle w:val="ae"/>
        <w:keepNext/>
      </w:pPr>
      <w:r>
        <w:lastRenderedPageBreak/>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6</w:t>
      </w:r>
      <w:r w:rsidR="00CC796E">
        <w:fldChar w:fldCharType="end"/>
      </w:r>
      <w:r>
        <w:rPr>
          <w:rFonts w:hint="eastAsia"/>
        </w:rPr>
        <w:t>：麦当劳食材成本结构</w:t>
      </w:r>
    </w:p>
    <w:p w14:paraId="1B43BFB3" w14:textId="12AA7050" w:rsidR="0087036B" w:rsidRDefault="00D43893" w:rsidP="003C0BA4">
      <w:r w:rsidRPr="00D43893">
        <w:rPr>
          <w:noProof/>
        </w:rPr>
        <w:drawing>
          <wp:inline distT="0" distB="0" distL="0" distR="0" wp14:anchorId="2FA358F9" wp14:editId="22714F0D">
            <wp:extent cx="6105797" cy="2986392"/>
            <wp:effectExtent l="0" t="0" r="3175" b="0"/>
            <wp:docPr id="2008553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53153" name=""/>
                    <pic:cNvPicPr/>
                  </pic:nvPicPr>
                  <pic:blipFill>
                    <a:blip r:embed="rId14"/>
                    <a:stretch>
                      <a:fillRect/>
                    </a:stretch>
                  </pic:blipFill>
                  <pic:spPr>
                    <a:xfrm>
                      <a:off x="0" y="0"/>
                      <a:ext cx="6160813" cy="3013301"/>
                    </a:xfrm>
                    <a:prstGeom prst="rect">
                      <a:avLst/>
                    </a:prstGeom>
                  </pic:spPr>
                </pic:pic>
              </a:graphicData>
            </a:graphic>
          </wp:inline>
        </w:drawing>
      </w:r>
    </w:p>
    <w:p w14:paraId="12D227C7" w14:textId="15F80DA9" w:rsidR="002F62BD" w:rsidRDefault="001E2B3E" w:rsidP="003C0BA4">
      <w:r w:rsidRPr="001E2B3E">
        <w:t>其中，牛肉和鸡肉决定肉类成本；土豆和咖啡是商品价格波动较大的品类；早餐、饮料和甜品则会受到鸡蛋、乳制品、咖啡豆和糖价格影响。</w:t>
      </w:r>
    </w:p>
    <w:p w14:paraId="7C8735EC" w14:textId="77777777" w:rsidR="001E2B3E" w:rsidRDefault="001E2B3E" w:rsidP="001E2B3E">
      <w:r>
        <w:t>但不能直接把这些类别的市场价格等同于麦当劳成本，因为还存在：</w:t>
      </w:r>
    </w:p>
    <w:p w14:paraId="6A2CAAEC" w14:textId="6C3DA1CF" w:rsidR="001E2B3E" w:rsidRDefault="001E2B3E">
      <w:pPr>
        <w:pStyle w:val="a9"/>
        <w:numPr>
          <w:ilvl w:val="1"/>
          <w:numId w:val="49"/>
        </w:numPr>
      </w:pPr>
      <w:r>
        <w:t>长期采购合同；</w:t>
      </w:r>
    </w:p>
    <w:p w14:paraId="4EA61A3E" w14:textId="7888024A" w:rsidR="001E2B3E" w:rsidRDefault="001E2B3E">
      <w:pPr>
        <w:pStyle w:val="a9"/>
        <w:numPr>
          <w:ilvl w:val="1"/>
          <w:numId w:val="49"/>
        </w:numPr>
      </w:pPr>
      <w:r>
        <w:t>供应商加工和配送成本；</w:t>
      </w:r>
    </w:p>
    <w:p w14:paraId="554995B0" w14:textId="4E7A7D1B" w:rsidR="001E2B3E" w:rsidRDefault="001E2B3E">
      <w:pPr>
        <w:pStyle w:val="a9"/>
        <w:numPr>
          <w:ilvl w:val="1"/>
          <w:numId w:val="49"/>
        </w:numPr>
      </w:pPr>
      <w:r>
        <w:t>麦当劳的规模采购；</w:t>
      </w:r>
    </w:p>
    <w:p w14:paraId="030060A0" w14:textId="336DF85B" w:rsidR="001E2B3E" w:rsidRDefault="001E2B3E">
      <w:pPr>
        <w:pStyle w:val="a9"/>
        <w:numPr>
          <w:ilvl w:val="1"/>
          <w:numId w:val="49"/>
        </w:numPr>
      </w:pPr>
      <w:r>
        <w:t>食材规格和质量要求；</w:t>
      </w:r>
    </w:p>
    <w:p w14:paraId="40878BE1" w14:textId="12B5618B" w:rsidR="001E2B3E" w:rsidRDefault="001E2B3E">
      <w:pPr>
        <w:pStyle w:val="a9"/>
        <w:numPr>
          <w:ilvl w:val="1"/>
          <w:numId w:val="49"/>
        </w:numPr>
      </w:pPr>
      <w:r>
        <w:t>汇率；</w:t>
      </w:r>
    </w:p>
    <w:p w14:paraId="2B0E0198" w14:textId="7DD25EF2" w:rsidR="001E2B3E" w:rsidRDefault="001E2B3E">
      <w:pPr>
        <w:pStyle w:val="a9"/>
        <w:numPr>
          <w:ilvl w:val="1"/>
          <w:numId w:val="49"/>
        </w:numPr>
      </w:pPr>
      <w:r>
        <w:t>加盟商采购区域差异；</w:t>
      </w:r>
    </w:p>
    <w:p w14:paraId="5360004E" w14:textId="48BF1304" w:rsidR="001E2B3E" w:rsidRDefault="001E2B3E">
      <w:pPr>
        <w:pStyle w:val="a9"/>
        <w:numPr>
          <w:ilvl w:val="1"/>
          <w:numId w:val="49"/>
        </w:numPr>
      </w:pPr>
      <w:r>
        <w:t>菜单组合和促销结构。</w:t>
      </w:r>
    </w:p>
    <w:p w14:paraId="26F644C4" w14:textId="77777777" w:rsidR="001E2B3E" w:rsidRDefault="001E2B3E" w:rsidP="003C0BA4"/>
    <w:p w14:paraId="65C80F01" w14:textId="5DE65F85" w:rsidR="00E948A3" w:rsidRDefault="00E948A3" w:rsidP="00E948A3">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7</w:t>
      </w:r>
      <w:r w:rsidR="00CC796E">
        <w:fldChar w:fldCharType="end"/>
      </w:r>
      <w:r>
        <w:rPr>
          <w:rFonts w:hint="eastAsia"/>
        </w:rPr>
        <w:t>：麦当劳直营店成本结构</w:t>
      </w:r>
    </w:p>
    <w:p w14:paraId="50E9BE72" w14:textId="63E7930D" w:rsidR="002F62BD" w:rsidRDefault="00E948A3" w:rsidP="003C0BA4">
      <w:r w:rsidRPr="00E948A3">
        <w:rPr>
          <w:noProof/>
        </w:rPr>
        <w:drawing>
          <wp:inline distT="0" distB="0" distL="0" distR="0" wp14:anchorId="46013C67" wp14:editId="09594848">
            <wp:extent cx="6645910" cy="2631440"/>
            <wp:effectExtent l="0" t="0" r="0" b="0"/>
            <wp:docPr id="164785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5397" name=""/>
                    <pic:cNvPicPr/>
                  </pic:nvPicPr>
                  <pic:blipFill>
                    <a:blip r:embed="rId15"/>
                    <a:stretch>
                      <a:fillRect/>
                    </a:stretch>
                  </pic:blipFill>
                  <pic:spPr>
                    <a:xfrm>
                      <a:off x="0" y="0"/>
                      <a:ext cx="6645910" cy="2631440"/>
                    </a:xfrm>
                    <a:prstGeom prst="rect">
                      <a:avLst/>
                    </a:prstGeom>
                  </pic:spPr>
                </pic:pic>
              </a:graphicData>
            </a:graphic>
          </wp:inline>
        </w:drawing>
      </w:r>
    </w:p>
    <w:p w14:paraId="3F6AE53C" w14:textId="209A09D9" w:rsidR="002F62BD" w:rsidRDefault="00984E08" w:rsidP="003C0BA4">
      <w:r w:rsidRPr="00984E08">
        <w:lastRenderedPageBreak/>
        <w:t>Food &amp; paper 占直营销售额的比例长期稳定在约 31%，但直营利润率从 FY2017 的 18.2%下降至 FY2025 的 14.7%。这说明食材价格上涨本身并没有完全表现为 Food &amp; paper / 销售额持续上升，因为麦当劳通过菜单提价、产品组合、采购效率和产品规格调整进行了部分抵消。</w:t>
      </w:r>
    </w:p>
    <w:p w14:paraId="433C0D06" w14:textId="77777777" w:rsidR="002F62BD" w:rsidRDefault="002F62BD" w:rsidP="003C0BA4"/>
    <w:p w14:paraId="6E0A835E" w14:textId="0D8A2A8A" w:rsidR="004C607E" w:rsidRDefault="004C607E" w:rsidP="004C607E">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8</w:t>
      </w:r>
      <w:r w:rsidR="00CC796E">
        <w:fldChar w:fldCharType="end"/>
      </w:r>
      <w:r>
        <w:rPr>
          <w:rFonts w:hint="eastAsia"/>
        </w:rPr>
        <w:t>：主要食材价格变化</w:t>
      </w:r>
      <w:r w:rsidR="008E29AA">
        <w:rPr>
          <w:rFonts w:hint="eastAsia"/>
        </w:rPr>
        <w:t>（</w:t>
      </w:r>
      <w:r w:rsidR="008E29AA">
        <w:t>美国劳工统计局</w:t>
      </w:r>
      <w:r w:rsidR="008E29AA">
        <w:t xml:space="preserve"> BLS </w:t>
      </w:r>
      <w:r w:rsidR="008E29AA">
        <w:t>的生产者价格指数（</w:t>
      </w:r>
      <w:r w:rsidR="008E29AA">
        <w:t>PPI</w:t>
      </w:r>
      <w:r w:rsidR="008E29AA">
        <w:t>）</w:t>
      </w:r>
      <w:r w:rsidR="008E29AA">
        <w:rPr>
          <w:rFonts w:hint="eastAsia"/>
        </w:rPr>
        <w:t>）</w:t>
      </w:r>
    </w:p>
    <w:p w14:paraId="46512BFB" w14:textId="13BD9A5D" w:rsidR="0087036B" w:rsidRDefault="0059753C" w:rsidP="003C0BA4">
      <w:r w:rsidRPr="0059753C">
        <w:rPr>
          <w:noProof/>
        </w:rPr>
        <w:drawing>
          <wp:inline distT="0" distB="0" distL="0" distR="0" wp14:anchorId="3B2272EB" wp14:editId="339F6C13">
            <wp:extent cx="6645910" cy="5276215"/>
            <wp:effectExtent l="0" t="0" r="0" b="0"/>
            <wp:docPr id="1940610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10550" name=""/>
                    <pic:cNvPicPr/>
                  </pic:nvPicPr>
                  <pic:blipFill>
                    <a:blip r:embed="rId16"/>
                    <a:stretch>
                      <a:fillRect/>
                    </a:stretch>
                  </pic:blipFill>
                  <pic:spPr>
                    <a:xfrm>
                      <a:off x="0" y="0"/>
                      <a:ext cx="6645910" cy="5276215"/>
                    </a:xfrm>
                    <a:prstGeom prst="rect">
                      <a:avLst/>
                    </a:prstGeom>
                  </pic:spPr>
                </pic:pic>
              </a:graphicData>
            </a:graphic>
          </wp:inline>
        </w:drawing>
      </w:r>
      <w:r w:rsidRPr="0059753C">
        <w:t xml:space="preserve"> </w:t>
      </w:r>
    </w:p>
    <w:p w14:paraId="4A426069" w14:textId="63166AC5" w:rsidR="004814B9" w:rsidRDefault="004814B9" w:rsidP="004814B9">
      <w:pPr>
        <w:pStyle w:val="ae"/>
        <w:keepNext/>
      </w:pPr>
      <w:r>
        <w:lastRenderedPageBreak/>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9</w:t>
      </w:r>
      <w:r w:rsidR="00CC796E">
        <w:fldChar w:fldCharType="end"/>
      </w:r>
      <w:r>
        <w:rPr>
          <w:rFonts w:hint="eastAsia"/>
        </w:rPr>
        <w:t>：饲料价格</w:t>
      </w:r>
      <w:r w:rsidR="008E29AA">
        <w:rPr>
          <w:rFonts w:hint="eastAsia"/>
        </w:rPr>
        <w:t>（</w:t>
      </w:r>
      <w:r w:rsidR="008E29AA">
        <w:t>美国劳工统计局</w:t>
      </w:r>
      <w:r w:rsidR="008E29AA">
        <w:t xml:space="preserve"> BLS </w:t>
      </w:r>
      <w:r w:rsidR="008E29AA">
        <w:t>的生产者价格指数（</w:t>
      </w:r>
      <w:r w:rsidR="008E29AA">
        <w:t>PPI</w:t>
      </w:r>
      <w:r w:rsidR="008E29AA">
        <w:t>）</w:t>
      </w:r>
      <w:r w:rsidR="008E29AA">
        <w:rPr>
          <w:rFonts w:hint="eastAsia"/>
        </w:rPr>
        <w:t>）</w:t>
      </w:r>
    </w:p>
    <w:p w14:paraId="3834DC3F" w14:textId="7AADC241" w:rsidR="004814B9" w:rsidRDefault="004814B9" w:rsidP="003C0BA4">
      <w:r w:rsidRPr="004814B9">
        <w:rPr>
          <w:noProof/>
        </w:rPr>
        <w:drawing>
          <wp:inline distT="0" distB="0" distL="0" distR="0" wp14:anchorId="770230C5" wp14:editId="4C4D6F73">
            <wp:extent cx="2873423" cy="5233481"/>
            <wp:effectExtent l="0" t="0" r="0" b="0"/>
            <wp:docPr id="1039942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42495" name=""/>
                    <pic:cNvPicPr/>
                  </pic:nvPicPr>
                  <pic:blipFill>
                    <a:blip r:embed="rId17"/>
                    <a:stretch>
                      <a:fillRect/>
                    </a:stretch>
                  </pic:blipFill>
                  <pic:spPr>
                    <a:xfrm>
                      <a:off x="0" y="0"/>
                      <a:ext cx="2898004" cy="5278252"/>
                    </a:xfrm>
                    <a:prstGeom prst="rect">
                      <a:avLst/>
                    </a:prstGeom>
                  </pic:spPr>
                </pic:pic>
              </a:graphicData>
            </a:graphic>
          </wp:inline>
        </w:drawing>
      </w:r>
    </w:p>
    <w:p w14:paraId="5376436A" w14:textId="650D0B62" w:rsidR="009E5864" w:rsidRDefault="009E5864" w:rsidP="003C0BA4">
      <w:r w:rsidRPr="009E5864">
        <w:rPr>
          <w:noProof/>
        </w:rPr>
        <w:lastRenderedPageBreak/>
        <w:drawing>
          <wp:inline distT="0" distB="0" distL="0" distR="0" wp14:anchorId="407AAC8E" wp14:editId="49573A86">
            <wp:extent cx="6645910" cy="8721725"/>
            <wp:effectExtent l="0" t="0" r="0" b="3175"/>
            <wp:docPr id="1020192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92958" name=""/>
                    <pic:cNvPicPr/>
                  </pic:nvPicPr>
                  <pic:blipFill>
                    <a:blip r:embed="rId18"/>
                    <a:stretch>
                      <a:fillRect/>
                    </a:stretch>
                  </pic:blipFill>
                  <pic:spPr>
                    <a:xfrm>
                      <a:off x="0" y="0"/>
                      <a:ext cx="6645910" cy="8721725"/>
                    </a:xfrm>
                    <a:prstGeom prst="rect">
                      <a:avLst/>
                    </a:prstGeom>
                  </pic:spPr>
                </pic:pic>
              </a:graphicData>
            </a:graphic>
          </wp:inline>
        </w:drawing>
      </w:r>
    </w:p>
    <w:p w14:paraId="213B1717" w14:textId="77777777" w:rsidR="000E4146" w:rsidRDefault="000E4146" w:rsidP="000E4146">
      <w:r>
        <w:t>这组数据不能简单概括为“食材成本普遍上涨”，而是呈现明显分化：</w:t>
      </w:r>
    </w:p>
    <w:p w14:paraId="72F19150" w14:textId="6EE286CD" w:rsidR="000E4146" w:rsidRDefault="000E4146">
      <w:pPr>
        <w:pStyle w:val="a9"/>
        <w:numPr>
          <w:ilvl w:val="0"/>
          <w:numId w:val="50"/>
        </w:numPr>
      </w:pPr>
      <w:r>
        <w:t>牛肉是最值得关注的核心压力源。2019–2025年屠宰牛价格上涨约 94%，明显高于一般食品价格。</w:t>
      </w:r>
    </w:p>
    <w:p w14:paraId="3860A09A" w14:textId="17D46333" w:rsidR="000E4146" w:rsidRDefault="000E4146">
      <w:pPr>
        <w:pStyle w:val="a9"/>
        <w:numPr>
          <w:ilvl w:val="0"/>
          <w:numId w:val="50"/>
        </w:numPr>
      </w:pPr>
      <w:r>
        <w:lastRenderedPageBreak/>
        <w:t>咖啡价格近期重新加速。2025年和 2026年的涨幅都较高，早餐和饮品业务会受到影响。</w:t>
      </w:r>
    </w:p>
    <w:p w14:paraId="6DFDF50E" w14:textId="13DDB5D3" w:rsidR="000E4146" w:rsidRDefault="000E4146">
      <w:pPr>
        <w:pStyle w:val="a9"/>
        <w:numPr>
          <w:ilvl w:val="0"/>
          <w:numId w:val="50"/>
        </w:numPr>
      </w:pPr>
      <w:r>
        <w:t>冷冻薯制品经历了较大幅度的结构性上涨。 即使近期趋稳，价格水平仍明显高于疫情前。</w:t>
      </w:r>
    </w:p>
    <w:p w14:paraId="16F6EBD1" w14:textId="61DC42D9" w:rsidR="009C1F4C" w:rsidRDefault="000E4146">
      <w:pPr>
        <w:pStyle w:val="a9"/>
        <w:numPr>
          <w:ilvl w:val="0"/>
          <w:numId w:val="50"/>
        </w:numPr>
      </w:pPr>
      <w:r>
        <w:t>鸡肉成本已经缓解。鸡肉价格在 2022 年高位后回落，说明并不是所有动物蛋白都面临同样的供应压力。</w:t>
      </w:r>
    </w:p>
    <w:p w14:paraId="64EA4FD7" w14:textId="77E453E6" w:rsidR="00586ED6" w:rsidRDefault="0025067E" w:rsidP="003C0BA4">
      <w:r>
        <w:t>当前麦当劳最需要关注的是</w:t>
      </w:r>
      <w:r w:rsidRPr="00513D01">
        <w:rPr>
          <w:b/>
          <w:bCs/>
        </w:rPr>
        <w:t>牛肉供给周期</w:t>
      </w:r>
      <w:r>
        <w:t>和</w:t>
      </w:r>
      <w:r w:rsidRPr="00513D01">
        <w:rPr>
          <w:b/>
          <w:bCs/>
        </w:rPr>
        <w:t>咖啡供应</w:t>
      </w:r>
      <w:r>
        <w:t>，而不是一般性的饲料通胀</w:t>
      </w:r>
      <w:r>
        <w:rPr>
          <w:rFonts w:hint="eastAsia"/>
        </w:rPr>
        <w:t>。</w:t>
      </w:r>
    </w:p>
    <w:p w14:paraId="23CCF632" w14:textId="77777777" w:rsidR="0025067E" w:rsidRDefault="0025067E" w:rsidP="003C0BA4"/>
    <w:p w14:paraId="1654FA9C" w14:textId="6E7B8A1A" w:rsidR="00586ED6" w:rsidRPr="008E3171" w:rsidRDefault="008E3171" w:rsidP="003C0BA4">
      <w:pPr>
        <w:rPr>
          <w:b/>
          <w:bCs/>
        </w:rPr>
      </w:pPr>
      <w:r w:rsidRPr="008E3171">
        <w:rPr>
          <w:rFonts w:hint="eastAsia"/>
          <w:b/>
          <w:bCs/>
        </w:rPr>
        <w:t>牛肉</w:t>
      </w:r>
    </w:p>
    <w:p w14:paraId="0863115F" w14:textId="0388CD94" w:rsidR="00744EE7" w:rsidRDefault="00E83467" w:rsidP="003C0BA4">
      <w:r w:rsidRPr="00E83467">
        <w:t>牛肉成本链条是：</w:t>
      </w:r>
    </w:p>
    <w:p w14:paraId="5D1298D6" w14:textId="73C17B45" w:rsidR="00744EE7" w:rsidRDefault="00E83467" w:rsidP="00E83467">
      <w:pPr>
        <w:jc w:val="center"/>
      </w:pPr>
      <w:r w:rsidRPr="00E83467">
        <w:t>玉米、豆粕、牧草 → 育肥成本 → 肉牛养殖利润 → 母牛和牛群规模 → 屠宰供给 → 牛肉采购价</w:t>
      </w:r>
    </w:p>
    <w:p w14:paraId="1F2AC0E3" w14:textId="77777777" w:rsidR="00F23C17" w:rsidRDefault="00F23C17" w:rsidP="003C0BA4"/>
    <w:p w14:paraId="5F6C2BA8" w14:textId="37C3B202" w:rsidR="00744EE7" w:rsidRDefault="00F23C17" w:rsidP="003C0BA4">
      <w:r w:rsidRPr="00F23C17">
        <w:t>美国 USDA 明确指出，牛肉行业由 cow-calf 养殖和 cattle feeding 两个环节组成，行业依赖饲料谷物，因此谷物供给和价格会影响牛肉生产。</w:t>
      </w:r>
      <w:r w:rsidR="00510DE3" w:rsidRPr="00510DE3">
        <w:t>但近期出现了一个很重要的现象：</w:t>
      </w:r>
    </w:p>
    <w:p w14:paraId="0D15311A" w14:textId="69B2EDD5" w:rsidR="00983849" w:rsidRDefault="00510DE3" w:rsidP="003C0BA4">
      <w:r w:rsidRPr="00510DE3">
        <w:rPr>
          <w:noProof/>
        </w:rPr>
        <w:drawing>
          <wp:inline distT="0" distB="0" distL="0" distR="0" wp14:anchorId="105AF693" wp14:editId="017D4DB2">
            <wp:extent cx="4912468" cy="1673318"/>
            <wp:effectExtent l="0" t="0" r="2540" b="3175"/>
            <wp:docPr id="339843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43833" name=""/>
                    <pic:cNvPicPr/>
                  </pic:nvPicPr>
                  <pic:blipFill>
                    <a:blip r:embed="rId19"/>
                    <a:stretch>
                      <a:fillRect/>
                    </a:stretch>
                  </pic:blipFill>
                  <pic:spPr>
                    <a:xfrm>
                      <a:off x="0" y="0"/>
                      <a:ext cx="4938072" cy="1682039"/>
                    </a:xfrm>
                    <a:prstGeom prst="rect">
                      <a:avLst/>
                    </a:prstGeom>
                  </pic:spPr>
                </pic:pic>
              </a:graphicData>
            </a:graphic>
          </wp:inline>
        </w:drawing>
      </w:r>
    </w:p>
    <w:p w14:paraId="5F810CF3" w14:textId="3EECC386" w:rsidR="00983849" w:rsidRDefault="00592865" w:rsidP="003C0BA4">
      <w:r w:rsidRPr="00592865">
        <w:t>2025–2026 年玉米和豆粕价格已经低于 2022 年高位，部分指标甚至低于 2019 年，但牛肉价格仍在上涨。</w:t>
      </w:r>
    </w:p>
    <w:p w14:paraId="5C447F9C" w14:textId="77777777" w:rsidR="00B73189" w:rsidRDefault="00B73189" w:rsidP="00B73189">
      <w:r>
        <w:t>这说明当前牛肉涨价不能只归因于饲料成本，更重要的因素可能包括：</w:t>
      </w:r>
    </w:p>
    <w:p w14:paraId="4AE05C9D" w14:textId="46430DD5" w:rsidR="00B73189" w:rsidRDefault="00B73189">
      <w:pPr>
        <w:pStyle w:val="a9"/>
        <w:numPr>
          <w:ilvl w:val="1"/>
          <w:numId w:val="51"/>
        </w:numPr>
      </w:pPr>
      <w:r>
        <w:t>肉牛存栏和母牛群规模调整；</w:t>
      </w:r>
    </w:p>
    <w:p w14:paraId="1C4DBDD1" w14:textId="689F3396" w:rsidR="00B73189" w:rsidRDefault="00B73189">
      <w:pPr>
        <w:pStyle w:val="a9"/>
        <w:numPr>
          <w:ilvl w:val="1"/>
          <w:numId w:val="51"/>
        </w:numPr>
      </w:pPr>
      <w:r>
        <w:t>干旱后牧场补栏需要时间；</w:t>
      </w:r>
    </w:p>
    <w:p w14:paraId="6D77B90A" w14:textId="71874AB1" w:rsidR="00B73189" w:rsidRDefault="00B73189">
      <w:pPr>
        <w:pStyle w:val="a9"/>
        <w:numPr>
          <w:ilvl w:val="1"/>
          <w:numId w:val="51"/>
        </w:numPr>
      </w:pPr>
      <w:r>
        <w:t>牛肉供给具有较长生物周期；</w:t>
      </w:r>
    </w:p>
    <w:p w14:paraId="2502A4BA" w14:textId="3517F7DC" w:rsidR="00B73189" w:rsidRDefault="00B73189">
      <w:pPr>
        <w:pStyle w:val="a9"/>
        <w:numPr>
          <w:ilvl w:val="1"/>
          <w:numId w:val="51"/>
        </w:numPr>
      </w:pPr>
      <w:r>
        <w:t>屠宰产能和加工环节约束；</w:t>
      </w:r>
    </w:p>
    <w:p w14:paraId="71764337" w14:textId="1603B887" w:rsidR="00B73189" w:rsidRDefault="00B73189">
      <w:pPr>
        <w:pStyle w:val="a9"/>
        <w:numPr>
          <w:ilvl w:val="1"/>
          <w:numId w:val="51"/>
        </w:numPr>
      </w:pPr>
      <w:r>
        <w:t>牛肉进口和贸易结构；</w:t>
      </w:r>
    </w:p>
    <w:p w14:paraId="60FD9867" w14:textId="183451B9" w:rsidR="00B73189" w:rsidRDefault="00B73189">
      <w:pPr>
        <w:pStyle w:val="a9"/>
        <w:numPr>
          <w:ilvl w:val="1"/>
          <w:numId w:val="51"/>
        </w:numPr>
      </w:pPr>
      <w:r>
        <w:t>养殖户在低利润阶段主动减少母牛保留。</w:t>
      </w:r>
    </w:p>
    <w:p w14:paraId="7A86628F" w14:textId="4291708D" w:rsidR="00744EE7" w:rsidRDefault="00B73189" w:rsidP="003C0BA4">
      <w:r>
        <w:t>因此，牛肉价格的关键变量不是下一季度玉米价格，而是</w:t>
      </w:r>
      <w:r w:rsidRPr="007808B1">
        <w:rPr>
          <w:b/>
          <w:bCs/>
        </w:rPr>
        <w:t>牛群重建和供给恢复周期</w:t>
      </w:r>
      <w:r>
        <w:t>。即使饲料价格下降，牛肉价格也可能因为供给不足继续维持高位。</w:t>
      </w:r>
    </w:p>
    <w:p w14:paraId="3A80E932" w14:textId="77777777" w:rsidR="00C73FCC" w:rsidRDefault="00C73FCC" w:rsidP="003C0BA4"/>
    <w:p w14:paraId="67293504" w14:textId="07B15E72" w:rsidR="00AA0963" w:rsidRDefault="00C73FCC" w:rsidP="003C0BA4">
      <w:r w:rsidRPr="00C73FCC">
        <w:t>美国麦当劳牛肉供应以北美供应链和美国市场为核心，但公司未披露美国市场的原产国比例；美国体系也可能通过批准供应商使用进口牛肉原料。</w:t>
      </w:r>
    </w:p>
    <w:p w14:paraId="4B25B754" w14:textId="77777777" w:rsidR="00AD0407" w:rsidRDefault="00AD0407" w:rsidP="00AD0407">
      <w:r>
        <w:t>从美国牛肉行业结构看，进口牛肉并非边缘供应。USDA ERS 指出：</w:t>
      </w:r>
    </w:p>
    <w:p w14:paraId="00F6DC86" w14:textId="3F1D5749" w:rsidR="00AD0407" w:rsidRDefault="00AD0407">
      <w:pPr>
        <w:pStyle w:val="a9"/>
        <w:numPr>
          <w:ilvl w:val="1"/>
          <w:numId w:val="54"/>
        </w:numPr>
      </w:pPr>
      <w:r>
        <w:t>美国进口牛肉中约三分之一是来自澳大利亚、新西兰、巴西等国的冷冻去骨加工牛肉边角料；</w:t>
      </w:r>
    </w:p>
    <w:p w14:paraId="1976AD57" w14:textId="186FA4B2" w:rsidR="00AD0407" w:rsidRDefault="00AD0407">
      <w:pPr>
        <w:pStyle w:val="a9"/>
        <w:numPr>
          <w:ilvl w:val="1"/>
          <w:numId w:val="54"/>
        </w:numPr>
      </w:pPr>
      <w:r>
        <w:lastRenderedPageBreak/>
        <w:t>加拿大向美国提供较多鲜牛肉部位；</w:t>
      </w:r>
    </w:p>
    <w:p w14:paraId="78E49FF8" w14:textId="6316ABEB" w:rsidR="00AD0407" w:rsidRDefault="00AD0407">
      <w:pPr>
        <w:pStyle w:val="a9"/>
        <w:numPr>
          <w:ilvl w:val="1"/>
          <w:numId w:val="54"/>
        </w:numPr>
      </w:pPr>
      <w:r>
        <w:t>墨西哥也提供特定部位；</w:t>
      </w:r>
    </w:p>
    <w:p w14:paraId="6184EFD5" w14:textId="30D27BC1" w:rsidR="00AD0407" w:rsidRDefault="00AD0407">
      <w:pPr>
        <w:pStyle w:val="a9"/>
        <w:numPr>
          <w:ilvl w:val="1"/>
          <w:numId w:val="54"/>
        </w:numPr>
      </w:pPr>
      <w:r>
        <w:t>美国牛肉进口在国内产量下降时通常会上升。</w:t>
      </w:r>
    </w:p>
    <w:p w14:paraId="5E554A6C" w14:textId="77777777" w:rsidR="00AA0963" w:rsidRDefault="00AA0963" w:rsidP="00AA0963">
      <w:r>
        <w:t>麦当劳全球食品采购页面披露，2024 年全球体系牛肉中：</w:t>
      </w:r>
    </w:p>
    <w:p w14:paraId="091505D4" w14:textId="147E4F40" w:rsidR="00AA0963" w:rsidRDefault="00AA0963">
      <w:pPr>
        <w:pStyle w:val="a9"/>
        <w:numPr>
          <w:ilvl w:val="1"/>
          <w:numId w:val="53"/>
        </w:numPr>
      </w:pPr>
      <w:r>
        <w:t>约 90% 来自公司定义的低优先级来源；</w:t>
      </w:r>
    </w:p>
    <w:p w14:paraId="068D3B69" w14:textId="5E0D5915" w:rsidR="00AA0963" w:rsidRDefault="00AA0963">
      <w:pPr>
        <w:pStyle w:val="a9"/>
        <w:numPr>
          <w:ilvl w:val="1"/>
          <w:numId w:val="53"/>
        </w:numPr>
      </w:pPr>
      <w:r>
        <w:t>巴西、阿根廷、巴拉圭和澳大利亚等高优先级来源合计约占全球牛肉量 10%；</w:t>
      </w:r>
    </w:p>
    <w:p w14:paraId="5E4921FB" w14:textId="77777777" w:rsidR="001101F2" w:rsidRDefault="001101F2" w:rsidP="003C0BA4"/>
    <w:p w14:paraId="5519A9E9" w14:textId="77777777" w:rsidR="00E417F1" w:rsidRDefault="00E417F1" w:rsidP="003C0BA4"/>
    <w:p w14:paraId="4329719D" w14:textId="6D988E6D" w:rsidR="00E417F1" w:rsidRDefault="00E417F1" w:rsidP="00E417F1">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10</w:t>
      </w:r>
      <w:r w:rsidR="00CC796E">
        <w:fldChar w:fldCharType="end"/>
      </w:r>
      <w:r>
        <w:rPr>
          <w:rFonts w:hint="eastAsia"/>
        </w:rPr>
        <w:t>：肉牛供应链指标</w:t>
      </w:r>
    </w:p>
    <w:p w14:paraId="6FC965B2" w14:textId="7FE1CA25" w:rsidR="00E417F1" w:rsidRDefault="00E417F1" w:rsidP="003C0BA4">
      <w:r w:rsidRPr="00E417F1">
        <w:rPr>
          <w:noProof/>
        </w:rPr>
        <w:drawing>
          <wp:inline distT="0" distB="0" distL="0" distR="0" wp14:anchorId="1414E76D" wp14:editId="27183A11">
            <wp:extent cx="5603132" cy="3184352"/>
            <wp:effectExtent l="0" t="0" r="0" b="3810"/>
            <wp:docPr id="783082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82836" name=""/>
                    <pic:cNvPicPr/>
                  </pic:nvPicPr>
                  <pic:blipFill>
                    <a:blip r:embed="rId20"/>
                    <a:stretch>
                      <a:fillRect/>
                    </a:stretch>
                  </pic:blipFill>
                  <pic:spPr>
                    <a:xfrm>
                      <a:off x="0" y="0"/>
                      <a:ext cx="5615190" cy="3191205"/>
                    </a:xfrm>
                    <a:prstGeom prst="rect">
                      <a:avLst/>
                    </a:prstGeom>
                  </pic:spPr>
                </pic:pic>
              </a:graphicData>
            </a:graphic>
          </wp:inline>
        </w:drawing>
      </w:r>
    </w:p>
    <w:p w14:paraId="57047558" w14:textId="6CC2799F" w:rsidR="00E417F1" w:rsidRDefault="00E1064F" w:rsidP="003C0BA4">
      <w:r w:rsidRPr="00E1064F">
        <w:rPr>
          <w:noProof/>
        </w:rPr>
        <w:drawing>
          <wp:inline distT="0" distB="0" distL="0" distR="0" wp14:anchorId="7BC0A7B1" wp14:editId="6C0117B5">
            <wp:extent cx="4610911" cy="3515677"/>
            <wp:effectExtent l="0" t="0" r="0" b="2540"/>
            <wp:docPr id="64368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8446" name=""/>
                    <pic:cNvPicPr/>
                  </pic:nvPicPr>
                  <pic:blipFill>
                    <a:blip r:embed="rId21"/>
                    <a:stretch>
                      <a:fillRect/>
                    </a:stretch>
                  </pic:blipFill>
                  <pic:spPr>
                    <a:xfrm>
                      <a:off x="0" y="0"/>
                      <a:ext cx="4633592" cy="3532971"/>
                    </a:xfrm>
                    <a:prstGeom prst="rect">
                      <a:avLst/>
                    </a:prstGeom>
                  </pic:spPr>
                </pic:pic>
              </a:graphicData>
            </a:graphic>
          </wp:inline>
        </w:drawing>
      </w:r>
    </w:p>
    <w:p w14:paraId="4FE36D13" w14:textId="5BE41437" w:rsidR="006B3B37" w:rsidRDefault="006B3B37" w:rsidP="006B3B37">
      <w:pPr>
        <w:pStyle w:val="ae"/>
        <w:keepNext/>
      </w:pPr>
      <w:r>
        <w:lastRenderedPageBreak/>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11</w:t>
      </w:r>
      <w:r w:rsidR="00CC796E">
        <w:fldChar w:fldCharType="end"/>
      </w:r>
      <w:r>
        <w:rPr>
          <w:rFonts w:hint="eastAsia"/>
        </w:rPr>
        <w:t>：美国牛群存栏量</w:t>
      </w:r>
    </w:p>
    <w:p w14:paraId="24FF519B" w14:textId="76D3A96C" w:rsidR="001101F2" w:rsidRDefault="006B3B37" w:rsidP="003C0BA4">
      <w:r w:rsidRPr="006B3B37">
        <w:rPr>
          <w:noProof/>
        </w:rPr>
        <w:drawing>
          <wp:inline distT="0" distB="0" distL="0" distR="0" wp14:anchorId="31179663" wp14:editId="56592380">
            <wp:extent cx="6645910" cy="808990"/>
            <wp:effectExtent l="0" t="0" r="0" b="3810"/>
            <wp:docPr id="1951466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66648" name=""/>
                    <pic:cNvPicPr/>
                  </pic:nvPicPr>
                  <pic:blipFill>
                    <a:blip r:embed="rId22"/>
                    <a:stretch>
                      <a:fillRect/>
                    </a:stretch>
                  </pic:blipFill>
                  <pic:spPr>
                    <a:xfrm>
                      <a:off x="0" y="0"/>
                      <a:ext cx="6645910" cy="808990"/>
                    </a:xfrm>
                    <a:prstGeom prst="rect">
                      <a:avLst/>
                    </a:prstGeom>
                  </pic:spPr>
                </pic:pic>
              </a:graphicData>
            </a:graphic>
          </wp:inline>
        </w:drawing>
      </w:r>
    </w:p>
    <w:p w14:paraId="60824068" w14:textId="7399A6A5" w:rsidR="00BB2A38" w:rsidRDefault="00BB2A38">
      <w:pPr>
        <w:pStyle w:val="a9"/>
        <w:numPr>
          <w:ilvl w:val="1"/>
          <w:numId w:val="55"/>
        </w:numPr>
      </w:pPr>
      <w:r>
        <w:t>2012 年全牛存栏 90.8 百万头，已经是当时 1952 年以来的最低水平；</w:t>
      </w:r>
    </w:p>
    <w:p w14:paraId="7FEDCF9C" w14:textId="377EAAC3" w:rsidR="00BB2A38" w:rsidRDefault="00BB2A38">
      <w:pPr>
        <w:pStyle w:val="a9"/>
        <w:numPr>
          <w:ilvl w:val="1"/>
          <w:numId w:val="55"/>
        </w:numPr>
      </w:pPr>
      <w:r>
        <w:t>2017–2019 年牛群曾恢复至 93.6–94.4 百万头；</w:t>
      </w:r>
    </w:p>
    <w:p w14:paraId="6142A136" w14:textId="0188742D" w:rsidR="00BB2A38" w:rsidRDefault="00BB2A38">
      <w:pPr>
        <w:pStyle w:val="a9"/>
        <w:numPr>
          <w:ilvl w:val="1"/>
          <w:numId w:val="55"/>
        </w:numPr>
      </w:pPr>
      <w:r>
        <w:t>2026 年全牛存栏降至 86.2 百万头，低于 2012 年的水平；</w:t>
      </w:r>
    </w:p>
    <w:p w14:paraId="542F731A" w14:textId="1EB4766F" w:rsidR="00BB2A38" w:rsidRDefault="00BB2A38">
      <w:pPr>
        <w:pStyle w:val="a9"/>
        <w:numPr>
          <w:ilvl w:val="1"/>
          <w:numId w:val="55"/>
        </w:numPr>
      </w:pPr>
      <w:r>
        <w:t>2019–2026 年，肉牛母牛存栏下降约 12%，犊牛产量下降约 9%；</w:t>
      </w:r>
    </w:p>
    <w:p w14:paraId="3B5F8828" w14:textId="26E36B67" w:rsidR="00BB2A38" w:rsidRDefault="00BB2A38">
      <w:pPr>
        <w:pStyle w:val="a9"/>
        <w:numPr>
          <w:ilvl w:val="1"/>
          <w:numId w:val="55"/>
        </w:numPr>
      </w:pPr>
      <w:r>
        <w:t>2026 年肉牛母牛存栏仍下降 1%，犊牛产量下降 2%。</w:t>
      </w:r>
    </w:p>
    <w:p w14:paraId="475BDAAC" w14:textId="5AF74CF5" w:rsidR="001101F2" w:rsidRDefault="00BB2A38" w:rsidP="00BB2A38">
      <w:r>
        <w:t>这说明当前美国牛肉供应紧张具有供给基础，并非单纯的短期饲料或运输成本波动。</w:t>
      </w:r>
    </w:p>
    <w:p w14:paraId="30F56EC0" w14:textId="6F6C9313" w:rsidR="00EA17DA" w:rsidRDefault="00EA17DA" w:rsidP="00BB2A38">
      <w:r>
        <w:rPr>
          <w:rFonts w:hint="eastAsia"/>
        </w:rPr>
        <w:t>美国牛群在上一轮扩张后进入收缩阶段，</w:t>
      </w:r>
      <w:r w:rsidRPr="00EA17DA">
        <w:t>干旱和养殖成本压力进一步促使养殖户淘汰繁殖母牛；随后犊牛出生量减少，经过数年的传导，才形成当前可供育肥、屠宰的牛只不足。价格上涨能够改善补栏意愿，但无法立即恢复繁殖能力。</w:t>
      </w:r>
    </w:p>
    <w:p w14:paraId="18D83FB3" w14:textId="5D064FEE" w:rsidR="00EA17DA" w:rsidRDefault="007E6BAD" w:rsidP="007E6BAD">
      <w:pPr>
        <w:ind w:left="420"/>
      </w:pPr>
      <w:r w:rsidRPr="007E6BAD">
        <w:t>首先，当前低存栏是多年收缩的累积结果。 USDA ERS 的修订序列显示，美国全部牛及小牛存栏于 FY2019 附近达到上一轮高点，约 9,470 万头，至 2025 年 1 月降至 8,670 万头，累计下降约 8.4%。牛群扩张时，新增供给逐步压低养殖收益；养殖户随后通过淘汰老母牛、减少保留年轻母牛来调整规模。牛周期因此通常持续 8–12 年，供给调整远慢于鸡肉。</w:t>
      </w:r>
    </w:p>
    <w:p w14:paraId="59B1CB74" w14:textId="051C7DFB" w:rsidR="00EA17DA" w:rsidRDefault="009F2A51" w:rsidP="009F2A51">
      <w:pPr>
        <w:ind w:left="420"/>
      </w:pPr>
      <w:r w:rsidRPr="009F2A51">
        <w:t xml:space="preserve">其次，需要将“繁殖环节”与“育肥环节”的成本约束分开。 繁殖母牛主要依赖牧场和牧草，通常很少直接消耗谷物；干旱使牧草产量和牧场承载力下降，养殖户只能选择购买额外草料，或者出售部分母牛。育肥场则更直接受玉米、蛋白饲料等价格影响，USDA 披露其日粮通常有 70%–90% 为谷物和蛋白精料。母牛繁殖基础受到牧草、降雨及饲养成本约束，育肥环节受到精饲料与购入犊牛成本约束。 </w:t>
      </w:r>
    </w:p>
    <w:p w14:paraId="5FE93B78" w14:textId="2921481B" w:rsidR="00097B01" w:rsidRDefault="00847FC5" w:rsidP="0020717C">
      <w:pPr>
        <w:ind w:left="420"/>
      </w:pPr>
      <w:r w:rsidRPr="00847FC5">
        <w:t>疫情期间还出现过一个加剧养殖端压力的现象：消费者购买的牛肉涨价，未必意味着养殖户收入同步增加。 2020 年屠宰加工厂因人员缺勤和停工降低产能，市场出现“牛无法及时屠宰、成品牛肉供应减少”的组合。USDA 发现，当时批发牛肉价格上涨，活牛价格却偏低。因此，终端食品通胀不能直接证明上游养殖户具备足够的扩群利润。</w:t>
      </w:r>
    </w:p>
    <w:p w14:paraId="11D00C1F" w14:textId="242FB85F" w:rsidR="00097B01" w:rsidRDefault="004976E4" w:rsidP="004976E4">
      <w:pPr>
        <w:ind w:left="420"/>
      </w:pPr>
      <w:r w:rsidRPr="004976E4">
        <w:t>母牛淘汰先增加当期供应，随后削弱未来供应。 养殖户出售繁殖母牛时，这些牛进入屠宰体系，当期牛肉供应可能得到支撑，但未来能够出生的犊牛减少。经过断奶、架子牛和育肥阶段后，供应收缩才传导至屠宰。对汉堡牛肉而言，淘汰母牛又是瘦肉原料的重要来源，因此后续若养殖户减少淘汰、开始保留母牛，繁殖基础改善的同时，短期加工牛肉供应仍可能偏紧。</w:t>
      </w:r>
    </w:p>
    <w:p w14:paraId="53C3B551" w14:textId="3E5FD725" w:rsidR="00097B01" w:rsidRPr="00545DB5" w:rsidRDefault="00545DB5" w:rsidP="00173CDD">
      <w:pPr>
        <w:ind w:left="420"/>
      </w:pPr>
      <w:r w:rsidRPr="00545DB5">
        <w:t>据此，当前牛肉成本压力具有多年供给收缩的基础，但价格路径不能仅由存栏决定。 USDA 2026 年 9 月展望仍指出育肥牛屠宰量处于历史低位，并下调 2026、2027 年牛肉产量预期；同时也指出牛价已从春季高点下降。进口、消费需求及交易预期能够使价格先于牛群恢复而回落。</w:t>
      </w:r>
    </w:p>
    <w:p w14:paraId="78F11B1C" w14:textId="77777777" w:rsidR="00097B01" w:rsidRDefault="00097B01" w:rsidP="00BB2A38"/>
    <w:p w14:paraId="27EDE0B2" w14:textId="77777777" w:rsidR="00CB689A" w:rsidRDefault="00CB689A" w:rsidP="00CB689A">
      <w:r>
        <w:t>2026 年 1 月 1 日：</w:t>
      </w:r>
    </w:p>
    <w:p w14:paraId="6BD1C7DB" w14:textId="27868A68" w:rsidR="00CB689A" w:rsidRDefault="00CB689A">
      <w:pPr>
        <w:pStyle w:val="a9"/>
        <w:numPr>
          <w:ilvl w:val="0"/>
          <w:numId w:val="56"/>
        </w:numPr>
      </w:pPr>
      <w:r>
        <w:t>肉牛母牛存栏：27.6 百万头，同比下降 1%；</w:t>
      </w:r>
    </w:p>
    <w:p w14:paraId="69ED096D" w14:textId="7763FA54" w:rsidR="00CB689A" w:rsidRDefault="00CB689A">
      <w:pPr>
        <w:pStyle w:val="a9"/>
        <w:numPr>
          <w:ilvl w:val="0"/>
          <w:numId w:val="56"/>
        </w:numPr>
      </w:pPr>
      <w:r>
        <w:t>犊牛产量：32.9 百万头，同比下降 2%；</w:t>
      </w:r>
    </w:p>
    <w:p w14:paraId="458F97F4" w14:textId="7C91BC58" w:rsidR="00CB689A" w:rsidRDefault="00CB689A">
      <w:pPr>
        <w:pStyle w:val="a9"/>
        <w:numPr>
          <w:ilvl w:val="0"/>
          <w:numId w:val="56"/>
        </w:numPr>
      </w:pPr>
      <w:r>
        <w:lastRenderedPageBreak/>
        <w:t>育肥场存栏：约 13.8 百万头，同比下降 3%；</w:t>
      </w:r>
    </w:p>
    <w:p w14:paraId="30C5410F" w14:textId="5CAA3368" w:rsidR="00CB689A" w:rsidRDefault="00CB689A">
      <w:pPr>
        <w:pStyle w:val="a9"/>
        <w:numPr>
          <w:ilvl w:val="0"/>
          <w:numId w:val="56"/>
        </w:numPr>
      </w:pPr>
      <w:r>
        <w:t>500 磅以上、位于育肥场之外的牛只约 24.5 百万头，同比小幅增加 1%；</w:t>
      </w:r>
    </w:p>
    <w:p w14:paraId="00168314" w14:textId="1E5E5F67" w:rsidR="004E733F" w:rsidRDefault="00CB689A">
      <w:pPr>
        <w:pStyle w:val="a9"/>
        <w:numPr>
          <w:ilvl w:val="0"/>
          <w:numId w:val="56"/>
        </w:numPr>
      </w:pPr>
      <w:r>
        <w:t>肉牛后备母牛增加 1%，但尚未带动母牛总存栏反弹。</w:t>
      </w:r>
    </w:p>
    <w:p w14:paraId="23229CE6" w14:textId="77777777" w:rsidR="00767855" w:rsidRDefault="00767855" w:rsidP="00767855">
      <w:r>
        <w:t>截至 2026 年 7 月：</w:t>
      </w:r>
    </w:p>
    <w:p w14:paraId="01E9EEA3" w14:textId="1F540423" w:rsidR="00767855" w:rsidRDefault="00767855">
      <w:pPr>
        <w:pStyle w:val="a9"/>
        <w:numPr>
          <w:ilvl w:val="1"/>
          <w:numId w:val="59"/>
        </w:numPr>
      </w:pPr>
      <w:r>
        <w:t>肉牛母牛存栏仍同比下降 1%；</w:t>
      </w:r>
    </w:p>
    <w:p w14:paraId="067496D8" w14:textId="41A0888D" w:rsidR="00767855" w:rsidRDefault="00767855">
      <w:pPr>
        <w:pStyle w:val="a9"/>
        <w:numPr>
          <w:ilvl w:val="1"/>
          <w:numId w:val="59"/>
        </w:numPr>
      </w:pPr>
      <w:r>
        <w:t>犊牛产量仍同比下降 2%；</w:t>
      </w:r>
    </w:p>
    <w:p w14:paraId="161C5FC2" w14:textId="483666F4" w:rsidR="00767855" w:rsidRDefault="00767855">
      <w:pPr>
        <w:pStyle w:val="a9"/>
        <w:numPr>
          <w:ilvl w:val="1"/>
          <w:numId w:val="59"/>
        </w:numPr>
      </w:pPr>
      <w:r>
        <w:t>育肥场存栏同比增加 2%。</w:t>
      </w:r>
    </w:p>
    <w:p w14:paraId="2EEC8F62" w14:textId="3D47B61E" w:rsidR="004E733F" w:rsidRDefault="00AA2377" w:rsidP="00767855">
      <w:r w:rsidRPr="00AA2377">
        <w:t>后备母牛开始增加，说明养殖户可能已经进入补栏准备阶段；</w:t>
      </w:r>
      <w:r w:rsidR="00102D83" w:rsidRPr="00102D83">
        <w:t>当前供应链前端仍在收缩，但中后端尚有存量支撑，短期牛肉供应未必立即大幅下降；不过随着育肥场库存逐步消化，前端犊牛不足会在未来几个季度传导到屠宰环节。</w:t>
      </w:r>
    </w:p>
    <w:p w14:paraId="5B5093DF" w14:textId="1C666E23" w:rsidR="0022402D" w:rsidRDefault="0022402D">
      <w:pPr>
        <w:pStyle w:val="a9"/>
        <w:numPr>
          <w:ilvl w:val="1"/>
          <w:numId w:val="58"/>
        </w:numPr>
      </w:pPr>
      <w:r>
        <w:t>后备母牛减少：说明养殖户没有补充繁殖群，未来母牛存栏可能继续下降；</w:t>
      </w:r>
    </w:p>
    <w:p w14:paraId="3D45AC9A" w14:textId="2ACF6CB4" w:rsidR="0022402D" w:rsidRDefault="0022402D">
      <w:pPr>
        <w:pStyle w:val="a9"/>
        <w:numPr>
          <w:ilvl w:val="1"/>
          <w:numId w:val="58"/>
        </w:numPr>
      </w:pPr>
      <w:r>
        <w:t>后备母牛增加：说明养殖户开始准备保留更多母牛，未来繁殖能力可能恢复；</w:t>
      </w:r>
    </w:p>
    <w:p w14:paraId="34FB5A93" w14:textId="571263D0" w:rsidR="0022402D" w:rsidRDefault="0022402D">
      <w:pPr>
        <w:pStyle w:val="a9"/>
        <w:numPr>
          <w:ilvl w:val="1"/>
          <w:numId w:val="58"/>
        </w:numPr>
      </w:pPr>
      <w:r>
        <w:t>但后备母牛增加后，需要经过配种、怀孕和产犊，才会真正变成能够生产犊牛的母牛。</w:t>
      </w:r>
    </w:p>
    <w:p w14:paraId="29CE8FF2" w14:textId="77777777" w:rsidR="0022402D" w:rsidRDefault="0022402D" w:rsidP="0022402D">
      <w:r>
        <w:t>这通常需要约 1–2 年。因此，后备母牛是一个“领先指标”，但领先的是未来一两年的供给，不是当前供给。</w:t>
      </w:r>
    </w:p>
    <w:p w14:paraId="1A9E0EEF" w14:textId="77777777" w:rsidR="004E733F" w:rsidRDefault="004E733F" w:rsidP="003C0BA4"/>
    <w:p w14:paraId="3A2C31B6" w14:textId="229872DA" w:rsidR="004E733F" w:rsidRPr="002A053D" w:rsidRDefault="00FF792A" w:rsidP="003C0BA4">
      <w:pPr>
        <w:rPr>
          <w:b/>
          <w:bCs/>
        </w:rPr>
      </w:pPr>
      <w:r w:rsidRPr="002A053D">
        <w:rPr>
          <w:b/>
          <w:bCs/>
        </w:rPr>
        <w:t>美国牛肉供给仍处于收缩末端或早期重建阶段，2026 年内牛肉成本压力难以明显缓解；即使 2026 年开始增加后备母牛，供给恢复也更可能在 2027–2029 年逐步体现。</w:t>
      </w:r>
    </w:p>
    <w:p w14:paraId="09AFA8F6" w14:textId="77777777" w:rsidR="00DB1C5F" w:rsidRDefault="00DB1C5F" w:rsidP="00DB1C5F">
      <w:r>
        <w:t>可能出现的路径是：</w:t>
      </w:r>
    </w:p>
    <w:p w14:paraId="32F19805" w14:textId="1F56F22F" w:rsidR="00DB1C5F" w:rsidRDefault="00DB1C5F">
      <w:pPr>
        <w:pStyle w:val="a9"/>
        <w:numPr>
          <w:ilvl w:val="1"/>
          <w:numId w:val="57"/>
        </w:numPr>
      </w:pPr>
      <w:r>
        <w:t>2026 年：肉牛存栏和犊牛产量仍低，牛肉价格维持高位；</w:t>
      </w:r>
    </w:p>
    <w:p w14:paraId="7961C98F" w14:textId="09196603" w:rsidR="00DB1C5F" w:rsidRDefault="00DB1C5F">
      <w:pPr>
        <w:pStyle w:val="a9"/>
        <w:numPr>
          <w:ilvl w:val="1"/>
          <w:numId w:val="57"/>
        </w:numPr>
      </w:pPr>
      <w:r>
        <w:t>2027 年：若后备母牛继续增加，母牛存栏可能企稳，但短期屠宰供给仍偏紧；</w:t>
      </w:r>
    </w:p>
    <w:p w14:paraId="32D47619" w14:textId="76FCF7F4" w:rsidR="001101F2" w:rsidRDefault="00DB1C5F">
      <w:pPr>
        <w:pStyle w:val="a9"/>
        <w:numPr>
          <w:ilvl w:val="1"/>
          <w:numId w:val="57"/>
        </w:numPr>
      </w:pPr>
      <w:r>
        <w:t>2028 年以后：补栏形成的新增犊牛逐步进入育肥和屠宰，牛肉供应才可能出现实质改善。</w:t>
      </w:r>
    </w:p>
    <w:p w14:paraId="6A27BDFB" w14:textId="77777777" w:rsidR="00DB1C5F" w:rsidRDefault="00DB1C5F" w:rsidP="00DB1C5F"/>
    <w:p w14:paraId="307CE6EC" w14:textId="65641C5A" w:rsidR="00E90A23" w:rsidRPr="00DB2352" w:rsidRDefault="00DB2352" w:rsidP="003C0BA4">
      <w:pPr>
        <w:rPr>
          <w:b/>
          <w:bCs/>
        </w:rPr>
      </w:pPr>
      <w:r w:rsidRPr="00DB2352">
        <w:rPr>
          <w:rFonts w:hint="eastAsia"/>
          <w:b/>
          <w:bCs/>
        </w:rPr>
        <w:t>鸡肉</w:t>
      </w:r>
    </w:p>
    <w:p w14:paraId="0234522B" w14:textId="39AE69FD" w:rsidR="00E90A23" w:rsidRDefault="00DB2352" w:rsidP="003C0BA4">
      <w:r w:rsidRPr="00DB2352">
        <w:t>鸡肉生产周期明显短于牛肉，饲料成本变化更容易在几个月内影响补栏、出栏和批发价格。</w:t>
      </w:r>
    </w:p>
    <w:p w14:paraId="6AB9D725" w14:textId="4E20AF95" w:rsidR="00DB2352" w:rsidRDefault="000D4AE0" w:rsidP="000D4AE0">
      <w:pPr>
        <w:jc w:val="center"/>
      </w:pPr>
      <w:r w:rsidRPr="000D4AE0">
        <w:t>玉米、豆粕 → 鸡苗与养殖利润 → 补栏数量 → 鸡肉供应 → 加工采购价</w:t>
      </w:r>
    </w:p>
    <w:p w14:paraId="150FD455" w14:textId="1FB066BE" w:rsidR="00DB2352" w:rsidRDefault="003D5FAD" w:rsidP="003C0BA4">
      <w:r w:rsidRPr="003D5FAD">
        <w:t>鸡肉价格在 2022 年上涨后较快回落，而玉米和豆粕价格也同步从高位下降。鸡肉成本对饲料价格的敏感度通常高于牛肉的短期价格表现。</w:t>
      </w:r>
    </w:p>
    <w:p w14:paraId="142CBEFB" w14:textId="77777777" w:rsidR="00D32709" w:rsidRDefault="00D32709" w:rsidP="00D32709">
      <w:r>
        <w:t>这对麦当劳有实际意义：</w:t>
      </w:r>
    </w:p>
    <w:p w14:paraId="13A76DD1" w14:textId="4423E76E" w:rsidR="00D32709" w:rsidRDefault="00D32709">
      <w:pPr>
        <w:pStyle w:val="a9"/>
        <w:numPr>
          <w:ilvl w:val="1"/>
          <w:numId w:val="52"/>
        </w:numPr>
      </w:pPr>
      <w:r>
        <w:t>鸡肉可以作为牛肉涨价时的产品替代；</w:t>
      </w:r>
    </w:p>
    <w:p w14:paraId="192C9B1B" w14:textId="3E6DE54E" w:rsidR="00D32709" w:rsidRDefault="00D32709">
      <w:pPr>
        <w:pStyle w:val="a9"/>
        <w:numPr>
          <w:ilvl w:val="1"/>
          <w:numId w:val="52"/>
        </w:numPr>
      </w:pPr>
      <w:r>
        <w:t>鸡肉产品有助于缓解蛋白质成本波动；</w:t>
      </w:r>
    </w:p>
    <w:p w14:paraId="5F472CC7" w14:textId="1775F18D" w:rsidR="00D32709" w:rsidRDefault="00D32709">
      <w:pPr>
        <w:pStyle w:val="a9"/>
        <w:numPr>
          <w:ilvl w:val="1"/>
          <w:numId w:val="52"/>
        </w:numPr>
      </w:pPr>
      <w:r>
        <w:t>但鸡肉价格下降可能伴随竞争加剧和产品促销增加；</w:t>
      </w:r>
    </w:p>
    <w:p w14:paraId="1D8528C5" w14:textId="510410B9" w:rsidR="00DB2352" w:rsidRDefault="00D32709">
      <w:pPr>
        <w:pStyle w:val="a9"/>
        <w:numPr>
          <w:ilvl w:val="1"/>
          <w:numId w:val="52"/>
        </w:numPr>
      </w:pPr>
      <w:r>
        <w:t>不能把鸡肉低成本简单理解为所有肉类成本都会下降。</w:t>
      </w:r>
    </w:p>
    <w:p w14:paraId="05833375" w14:textId="77777777" w:rsidR="001922D2" w:rsidRDefault="001922D2" w:rsidP="003C0BA4"/>
    <w:p w14:paraId="258AAC4D" w14:textId="00ECD023" w:rsidR="003C0BA4" w:rsidRDefault="00612CA9" w:rsidP="00612CA9">
      <w:pPr>
        <w:pStyle w:val="2"/>
      </w:pPr>
      <w:r>
        <w:rPr>
          <w:rFonts w:hint="eastAsia"/>
        </w:rPr>
        <w:lastRenderedPageBreak/>
        <w:t>经营分析</w:t>
      </w:r>
    </w:p>
    <w:p w14:paraId="2A85FA88" w14:textId="6F7E1868" w:rsidR="004D7A2E" w:rsidRDefault="004302CB" w:rsidP="00660BB8">
      <w:pPr>
        <w:pStyle w:val="3"/>
      </w:pPr>
      <w:r>
        <w:rPr>
          <w:rFonts w:hint="eastAsia"/>
        </w:rPr>
        <w:t>门店</w:t>
      </w:r>
      <w:r w:rsidR="006245CB">
        <w:rPr>
          <w:rFonts w:hint="eastAsia"/>
        </w:rPr>
        <w:t>数量</w:t>
      </w:r>
    </w:p>
    <w:p w14:paraId="5AB523B6" w14:textId="7227EEC8" w:rsidR="00C6603F" w:rsidRDefault="001408F3">
      <w:pPr>
        <w:pStyle w:val="a9"/>
        <w:numPr>
          <w:ilvl w:val="0"/>
          <w:numId w:val="21"/>
        </w:numPr>
      </w:pPr>
      <w:r w:rsidRPr="00C6603F">
        <w:rPr>
          <w:rFonts w:hint="eastAsia"/>
          <w:b/>
          <w:bCs/>
        </w:rPr>
        <w:t>结论</w:t>
      </w:r>
    </w:p>
    <w:p w14:paraId="36384C5F" w14:textId="719E2317" w:rsidR="004D7A2E" w:rsidRDefault="00B94085" w:rsidP="004D7A2E">
      <w:r w:rsidRPr="00B94085">
        <w:t>麦当劳的餐厅网络经历了从成熟市场稳步扩张、疫情冲击后的修复，到近年重新提速的过程。早期全球餐厅数量增长相对温和，体系扩张更多依赖既有门店效率提升；疫情及俄罗斯业务退出造成阶段性扰动；此后公司重新加快开店，增量主要来自国际发展授权市场及海外关联合作伙伴。近期门店数量仍保持扩张，但扩张主要通过特许经营、发展授权和关联公司完成，直营门店并未同步增加，体现出麦当劳以合作伙伴驱动网络扩张、控制资本投入的经营模式。门店数量增长因此是体系销售额扩张的重要基础，但门店存量增加本身并不等同于单店效率提升，仍需结合可比销售和单店销售额判断扩张质量。</w:t>
      </w:r>
    </w:p>
    <w:p w14:paraId="3BA4668C" w14:textId="77777777" w:rsidR="001408F3" w:rsidRDefault="001408F3" w:rsidP="004D7A2E"/>
    <w:p w14:paraId="6C2C376E" w14:textId="0808FC12" w:rsidR="003553DB" w:rsidRDefault="003553DB" w:rsidP="003553DB">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12</w:t>
      </w:r>
      <w:r w:rsidR="00CC796E">
        <w:fldChar w:fldCharType="end"/>
      </w:r>
      <w:r>
        <w:rPr>
          <w:rFonts w:hint="eastAsia"/>
        </w:rPr>
        <w:t>：分部门餐厅数量</w:t>
      </w:r>
    </w:p>
    <w:p w14:paraId="46BB827E" w14:textId="12227BB9" w:rsidR="004D7A2E" w:rsidRDefault="00634AFE" w:rsidP="00B83851">
      <w:r w:rsidRPr="00634AFE">
        <w:rPr>
          <w:noProof/>
        </w:rPr>
        <w:drawing>
          <wp:inline distT="0" distB="0" distL="0" distR="0" wp14:anchorId="4FF114DD" wp14:editId="77110985">
            <wp:extent cx="6645910" cy="1113206"/>
            <wp:effectExtent l="0" t="0" r="0" b="4445"/>
            <wp:docPr id="1281993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93086" name="图片 1"/>
                    <pic:cNvPicPr/>
                  </pic:nvPicPr>
                  <pic:blipFill>
                    <a:blip r:embed="rId23"/>
                    <a:stretch>
                      <a:fillRect/>
                    </a:stretch>
                  </pic:blipFill>
                  <pic:spPr>
                    <a:xfrm>
                      <a:off x="0" y="0"/>
                      <a:ext cx="6645910" cy="1113206"/>
                    </a:xfrm>
                    <a:prstGeom prst="rect">
                      <a:avLst/>
                    </a:prstGeom>
                  </pic:spPr>
                </pic:pic>
              </a:graphicData>
            </a:graphic>
          </wp:inline>
        </w:drawing>
      </w:r>
    </w:p>
    <w:p w14:paraId="71D61ED6" w14:textId="77777777" w:rsidR="00C5314C" w:rsidRDefault="00C5314C" w:rsidP="00C5314C">
      <w:r>
        <w:t>麦当劳十年间系统餐厅由36,899 家增至 45,356 家，增长并非匀速，而是分为三个阶段：2017 至 2021 年年净增约 1% 至 2%，期间叠加中国和香港出售、2020 年疫情；2022 年受俄罗斯出售影响净增仅 0.6%；2023 年起提速至近 4% 至 4.3%，毛开业由约 1,500 家升至约 2,300 家，关店率降至十年最低的 0.9%，并设定 2027 年底 5 万家的目标。</w:t>
      </w:r>
    </w:p>
    <w:p w14:paraId="4096469B" w14:textId="401CE442" w:rsidR="00430347" w:rsidRDefault="00430347" w:rsidP="00430347">
      <w:pPr>
        <w:pStyle w:val="ae"/>
        <w:keepNext/>
      </w:pPr>
      <w:r>
        <w:lastRenderedPageBreak/>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13</w:t>
      </w:r>
      <w:r w:rsidR="00CC796E">
        <w:fldChar w:fldCharType="end"/>
      </w:r>
      <w:r>
        <w:rPr>
          <w:rFonts w:hint="eastAsia"/>
        </w:rPr>
        <w:t>：</w:t>
      </w:r>
      <w:r w:rsidRPr="00CE537B">
        <w:t>开业与关闭</w:t>
      </w:r>
    </w:p>
    <w:p w14:paraId="5F6DF624" w14:textId="601F73FC" w:rsidR="00430347" w:rsidRDefault="00430347" w:rsidP="00430347">
      <w:r w:rsidRPr="00C82A5A">
        <w:rPr>
          <w:noProof/>
        </w:rPr>
        <w:drawing>
          <wp:inline distT="0" distB="0" distL="0" distR="0" wp14:anchorId="31B175EC" wp14:editId="00059D61">
            <wp:extent cx="5633214" cy="3883936"/>
            <wp:effectExtent l="0" t="0" r="5715" b="2540"/>
            <wp:docPr id="16180241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24189" name=""/>
                    <pic:cNvPicPr/>
                  </pic:nvPicPr>
                  <pic:blipFill>
                    <a:blip r:embed="rId24"/>
                    <a:stretch>
                      <a:fillRect/>
                    </a:stretch>
                  </pic:blipFill>
                  <pic:spPr>
                    <a:xfrm>
                      <a:off x="0" y="0"/>
                      <a:ext cx="5655897" cy="3899575"/>
                    </a:xfrm>
                    <a:prstGeom prst="rect">
                      <a:avLst/>
                    </a:prstGeom>
                  </pic:spPr>
                </pic:pic>
              </a:graphicData>
            </a:graphic>
          </wp:inline>
        </w:drawing>
      </w:r>
    </w:p>
    <w:p w14:paraId="20AEE493" w14:textId="770B832D" w:rsidR="004D7A2E" w:rsidRDefault="00F8558C" w:rsidP="004D7A2E">
      <w:r w:rsidRPr="003E4F46">
        <w:rPr>
          <w:b/>
          <w:bCs/>
        </w:rPr>
        <w:t>IDL 决定全球扩张的规模底座，而近两年净增继续提速的边际变化主要在美国和 IOM</w:t>
      </w:r>
      <w:r w:rsidRPr="003E4F46">
        <w:rPr>
          <w:rFonts w:hint="eastAsia"/>
          <w:b/>
          <w:bCs/>
        </w:rPr>
        <w:t>。</w:t>
      </w:r>
      <w:r w:rsidR="000E4237" w:rsidRPr="000E4237">
        <w:t>FY2022–FY2025 全球净增 5,081 家，其中 IDL 贡献 4,077 家，占 80.2%</w:t>
      </w:r>
      <w:r w:rsidR="008835A6">
        <w:rPr>
          <w:rFonts w:hint="eastAsia"/>
        </w:rPr>
        <w:t>；</w:t>
      </w:r>
      <w:r w:rsidR="000E4237" w:rsidRPr="000E4237">
        <w:t>美国净增仅 262 家，IOM 净增 742 家。</w:t>
      </w:r>
      <w:r w:rsidR="006D1D34" w:rsidRPr="006D1D34">
        <w:t>FY2023 至 FY2025，全球净增由 1,547 家增至 1,879 家，多出 332 家。其中美国与 IOM 的净增合计由 173 家升至 482 家，贡献 309 家，即增量的 93%</w:t>
      </w:r>
      <w:r w:rsidR="006D1D34">
        <w:rPr>
          <w:rFonts w:hint="eastAsia"/>
        </w:rPr>
        <w:t>。</w:t>
      </w:r>
    </w:p>
    <w:p w14:paraId="723FEC15" w14:textId="3C9B666B" w:rsidR="00DE77C7" w:rsidRDefault="00DE77C7" w:rsidP="004D7A2E">
      <w:r w:rsidRPr="00DE77C7">
        <w:t>美国的过程尤其值得分开看：毛开业从 112 家增至 205 家，推算关闭由 99 家降至 56 家，净增才由接近零的 13 家提高到 149 家。IOM 同期毛开业增加 78 家、推算关闭减少 95 家，净增提高 173 家。</w:t>
      </w:r>
    </w:p>
    <w:p w14:paraId="60A8251F" w14:textId="119CD28C" w:rsidR="00953993" w:rsidRDefault="00953993" w:rsidP="00953993">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14</w:t>
      </w:r>
      <w:r w:rsidR="00CC796E">
        <w:fldChar w:fldCharType="end"/>
      </w:r>
      <w:r>
        <w:rPr>
          <w:rFonts w:hint="eastAsia"/>
        </w:rPr>
        <w:t>：</w:t>
      </w:r>
      <w:r w:rsidRPr="00CE537B">
        <w:t>开业与关闭</w:t>
      </w:r>
    </w:p>
    <w:p w14:paraId="6521E702" w14:textId="1422C289" w:rsidR="00953993" w:rsidRPr="00C5314C" w:rsidRDefault="00953993" w:rsidP="00953993">
      <w:r w:rsidRPr="009F3A2A">
        <w:rPr>
          <w:noProof/>
        </w:rPr>
        <w:drawing>
          <wp:inline distT="0" distB="0" distL="0" distR="0" wp14:anchorId="2CBB5A30" wp14:editId="2A7FA05B">
            <wp:extent cx="6645910" cy="1084580"/>
            <wp:effectExtent l="0" t="0" r="0" b="0"/>
            <wp:docPr id="663857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27866" name=""/>
                    <pic:cNvPicPr/>
                  </pic:nvPicPr>
                  <pic:blipFill>
                    <a:blip r:embed="rId25"/>
                    <a:stretch>
                      <a:fillRect/>
                    </a:stretch>
                  </pic:blipFill>
                  <pic:spPr>
                    <a:xfrm>
                      <a:off x="0" y="0"/>
                      <a:ext cx="6645910" cy="1084580"/>
                    </a:xfrm>
                    <a:prstGeom prst="rect">
                      <a:avLst/>
                    </a:prstGeom>
                  </pic:spPr>
                </pic:pic>
              </a:graphicData>
            </a:graphic>
          </wp:inline>
        </w:drawing>
      </w:r>
      <w:r w:rsidR="0024300F" w:rsidRPr="0024300F">
        <w:rPr>
          <w:noProof/>
        </w:rPr>
        <w:t xml:space="preserve"> </w:t>
      </w:r>
      <w:r w:rsidR="0024300F" w:rsidRPr="0024300F">
        <w:rPr>
          <w:noProof/>
        </w:rPr>
        <w:lastRenderedPageBreak/>
        <w:drawing>
          <wp:inline distT="0" distB="0" distL="0" distR="0" wp14:anchorId="68E0FC91" wp14:editId="3548A445">
            <wp:extent cx="5794218" cy="2388329"/>
            <wp:effectExtent l="0" t="0" r="0" b="0"/>
            <wp:docPr id="1365345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45810" name=""/>
                    <pic:cNvPicPr/>
                  </pic:nvPicPr>
                  <pic:blipFill>
                    <a:blip r:embed="rId26"/>
                    <a:stretch>
                      <a:fillRect/>
                    </a:stretch>
                  </pic:blipFill>
                  <pic:spPr>
                    <a:xfrm>
                      <a:off x="0" y="0"/>
                      <a:ext cx="5816523" cy="2397523"/>
                    </a:xfrm>
                    <a:prstGeom prst="rect">
                      <a:avLst/>
                    </a:prstGeom>
                  </pic:spPr>
                </pic:pic>
              </a:graphicData>
            </a:graphic>
          </wp:inline>
        </w:drawing>
      </w:r>
    </w:p>
    <w:p w14:paraId="64928066" w14:textId="09FFC0B5" w:rsidR="00DA358F" w:rsidRDefault="00411B84" w:rsidP="004D7A2E">
      <w:r w:rsidRPr="00411B84">
        <w:t>FY2025 IDL 推算关店率约为美国的 3.6 倍，但其毛开业率约为美国的 5.7 倍，最终净增率仍达到 7.2%。</w:t>
      </w:r>
    </w:p>
    <w:p w14:paraId="2D1FB7A8" w14:textId="77777777" w:rsidR="00411B84" w:rsidRDefault="00411B84" w:rsidP="004D7A2E"/>
    <w:p w14:paraId="329F6EB5" w14:textId="5675B857" w:rsidR="00D53A67" w:rsidRDefault="00D53A67" w:rsidP="00D53A67">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15</w:t>
      </w:r>
      <w:r w:rsidR="00CC796E">
        <w:fldChar w:fldCharType="end"/>
      </w:r>
      <w:r>
        <w:rPr>
          <w:rFonts w:hint="eastAsia"/>
        </w:rPr>
        <w:t>：餐厅数量（按合作结构）</w:t>
      </w:r>
    </w:p>
    <w:p w14:paraId="2A726B04" w14:textId="2533646D" w:rsidR="00D53A67" w:rsidRDefault="00D53A67" w:rsidP="004D7A2E">
      <w:r w:rsidRPr="00D53A67">
        <w:rPr>
          <w:noProof/>
        </w:rPr>
        <w:drawing>
          <wp:inline distT="0" distB="0" distL="0" distR="0" wp14:anchorId="3FA07AD2" wp14:editId="6E332C25">
            <wp:extent cx="6203943" cy="1424978"/>
            <wp:effectExtent l="0" t="0" r="0" b="0"/>
            <wp:docPr id="949908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08129" name="图片 1"/>
                    <pic:cNvPicPr/>
                  </pic:nvPicPr>
                  <pic:blipFill>
                    <a:blip r:embed="rId27"/>
                    <a:stretch>
                      <a:fillRect/>
                    </a:stretch>
                  </pic:blipFill>
                  <pic:spPr>
                    <a:xfrm>
                      <a:off x="0" y="0"/>
                      <a:ext cx="6203943" cy="1424978"/>
                    </a:xfrm>
                    <a:prstGeom prst="rect">
                      <a:avLst/>
                    </a:prstGeom>
                  </pic:spPr>
                </pic:pic>
              </a:graphicData>
            </a:graphic>
          </wp:inline>
        </w:drawing>
      </w:r>
    </w:p>
    <w:p w14:paraId="454CAB13" w14:textId="004D63B5" w:rsidR="00DA358F" w:rsidRDefault="00D53A67" w:rsidP="004D7A2E">
      <w:r w:rsidRPr="00D53A67">
        <w:rPr>
          <w:noProof/>
        </w:rPr>
        <w:drawing>
          <wp:inline distT="0" distB="0" distL="0" distR="0" wp14:anchorId="33F6BACC" wp14:editId="5F855020">
            <wp:extent cx="6056768" cy="2248284"/>
            <wp:effectExtent l="0" t="0" r="1270" b="0"/>
            <wp:docPr id="163801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1683" name=""/>
                    <pic:cNvPicPr/>
                  </pic:nvPicPr>
                  <pic:blipFill>
                    <a:blip r:embed="rId28"/>
                    <a:stretch>
                      <a:fillRect/>
                    </a:stretch>
                  </pic:blipFill>
                  <pic:spPr>
                    <a:xfrm>
                      <a:off x="0" y="0"/>
                      <a:ext cx="6093285" cy="2261839"/>
                    </a:xfrm>
                    <a:prstGeom prst="rect">
                      <a:avLst/>
                    </a:prstGeom>
                  </pic:spPr>
                </pic:pic>
              </a:graphicData>
            </a:graphic>
          </wp:inline>
        </w:drawing>
      </w:r>
    </w:p>
    <w:p w14:paraId="5A9AF023" w14:textId="7A9C7E7C" w:rsidR="00DA358F" w:rsidRDefault="005A246D" w:rsidP="004D7A2E">
      <w:r w:rsidRPr="006F299D">
        <w:rPr>
          <w:b/>
          <w:bCs/>
        </w:rPr>
        <w:t>轻资产扩张</w:t>
      </w:r>
      <w:r>
        <w:rPr>
          <w:rFonts w:hint="eastAsia"/>
        </w:rPr>
        <w:t>：</w:t>
      </w:r>
      <w:r w:rsidRPr="005A246D">
        <w:t>FY2022–FY2025，发展授权与关联公司合计净增 4,298 家，占全球净增的 84.6%。在这两种安排下，当地伙伴负责开发、房地产权益和餐厅运营；麦当劳通常不投入餐厅资本，主要收取按销售额计算的特许权使用费，关联公司安排下还可能确认权益法投资收益。</w:t>
      </w:r>
    </w:p>
    <w:p w14:paraId="38C78DFD" w14:textId="2A66C2CC" w:rsidR="00DA358F" w:rsidRDefault="00E46024" w:rsidP="004D7A2E">
      <w:r w:rsidRPr="00E46024">
        <w:rPr>
          <w:noProof/>
        </w:rPr>
        <w:lastRenderedPageBreak/>
        <w:drawing>
          <wp:inline distT="0" distB="0" distL="0" distR="0" wp14:anchorId="434BE559" wp14:editId="227633B8">
            <wp:extent cx="6645910" cy="2388235"/>
            <wp:effectExtent l="0" t="0" r="0" b="0"/>
            <wp:docPr id="79348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8273" name=""/>
                    <pic:cNvPicPr/>
                  </pic:nvPicPr>
                  <pic:blipFill>
                    <a:blip r:embed="rId29"/>
                    <a:stretch>
                      <a:fillRect/>
                    </a:stretch>
                  </pic:blipFill>
                  <pic:spPr>
                    <a:xfrm>
                      <a:off x="0" y="0"/>
                      <a:ext cx="6645910" cy="2388235"/>
                    </a:xfrm>
                    <a:prstGeom prst="rect">
                      <a:avLst/>
                    </a:prstGeom>
                  </pic:spPr>
                </pic:pic>
              </a:graphicData>
            </a:graphic>
          </wp:inline>
        </w:drawing>
      </w:r>
    </w:p>
    <w:p w14:paraId="7C347007" w14:textId="39D1946F" w:rsidR="00930F20" w:rsidRDefault="0087507F" w:rsidP="004D7A2E">
      <w:r w:rsidRPr="0087507F">
        <w:t>大中华 FY2025 净增 928 家，约占全球净增 1,879 家的 49.4%；仅中国内地就占约 49.0%。这使中国市场成为全球开店目标的重要执行变量，也提高了对当地合作方选址、资金和新店成熟表现的依赖。</w:t>
      </w:r>
    </w:p>
    <w:p w14:paraId="5071E25C" w14:textId="77777777" w:rsidR="00930F20" w:rsidRDefault="00930F20" w:rsidP="004D7A2E"/>
    <w:p w14:paraId="68094A28" w14:textId="6011953B" w:rsidR="0043398D" w:rsidRDefault="0043398D" w:rsidP="0043398D">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16</w:t>
      </w:r>
      <w:r w:rsidR="00CC796E">
        <w:fldChar w:fldCharType="end"/>
      </w:r>
      <w:r>
        <w:rPr>
          <w:rFonts w:hint="eastAsia"/>
        </w:rPr>
        <w:t>：近</w:t>
      </w:r>
      <w:r>
        <w:rPr>
          <w:rFonts w:hint="eastAsia"/>
        </w:rPr>
        <w:t>4</w:t>
      </w:r>
      <w:r>
        <w:rPr>
          <w:rFonts w:hint="eastAsia"/>
        </w:rPr>
        <w:t>个季度的门店数量</w:t>
      </w:r>
    </w:p>
    <w:p w14:paraId="7479F19F" w14:textId="0072D051" w:rsidR="0043398D" w:rsidRDefault="0043398D" w:rsidP="004D7A2E">
      <w:r w:rsidRPr="0043398D">
        <w:rPr>
          <w:noProof/>
        </w:rPr>
        <w:drawing>
          <wp:inline distT="0" distB="0" distL="0" distR="0" wp14:anchorId="4FAE6F7B" wp14:editId="57AA4AA9">
            <wp:extent cx="6645910" cy="1301750"/>
            <wp:effectExtent l="0" t="0" r="0" b="6350"/>
            <wp:docPr id="1525048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48840" name=""/>
                    <pic:cNvPicPr/>
                  </pic:nvPicPr>
                  <pic:blipFill>
                    <a:blip r:embed="rId30"/>
                    <a:stretch>
                      <a:fillRect/>
                    </a:stretch>
                  </pic:blipFill>
                  <pic:spPr>
                    <a:xfrm>
                      <a:off x="0" y="0"/>
                      <a:ext cx="6645910" cy="1301750"/>
                    </a:xfrm>
                    <a:prstGeom prst="rect">
                      <a:avLst/>
                    </a:prstGeom>
                  </pic:spPr>
                </pic:pic>
              </a:graphicData>
            </a:graphic>
          </wp:inline>
        </w:drawing>
      </w:r>
    </w:p>
    <w:p w14:paraId="369E6BC7" w14:textId="6B5AB89E" w:rsidR="0043398D" w:rsidRDefault="0062250D" w:rsidP="004D7A2E">
      <w:r>
        <w:rPr>
          <w:rFonts w:hint="eastAsia"/>
        </w:rPr>
        <w:t>近4个季度，门店</w:t>
      </w:r>
      <w:r w:rsidRPr="0062250D">
        <w:t>增量主要来自特许经营网络，而非直营餐厅。从增量结构看，Foreign affiliated 是近四季度最大的门店来源，贡献约 49.4%的净增；Conventional franchised 和 Developmental licensed 分别贡献约 28.8%和 24.0%。这说明近期扩张仍以轻资产合作结构为主，公司直营网络没有扩张，反而小幅收缩。</w:t>
      </w:r>
    </w:p>
    <w:p w14:paraId="5404B8FF" w14:textId="77777777" w:rsidR="00BE5EAF" w:rsidRPr="00034CB2" w:rsidRDefault="00BE5EAF" w:rsidP="004D7A2E"/>
    <w:p w14:paraId="20394497" w14:textId="77E8F34F" w:rsidR="00DA358F" w:rsidRDefault="000F006F" w:rsidP="00822346">
      <w:pPr>
        <w:pStyle w:val="3"/>
      </w:pPr>
      <w:r>
        <w:rPr>
          <w:rFonts w:hint="eastAsia"/>
        </w:rPr>
        <w:t>体系</w:t>
      </w:r>
      <w:r w:rsidR="00822346">
        <w:rPr>
          <w:rFonts w:hint="eastAsia"/>
        </w:rPr>
        <w:t>销售额</w:t>
      </w:r>
    </w:p>
    <w:p w14:paraId="5F3BB5A0" w14:textId="77777777" w:rsidR="00E45A97" w:rsidRDefault="00A924D6">
      <w:pPr>
        <w:pStyle w:val="a9"/>
        <w:numPr>
          <w:ilvl w:val="0"/>
          <w:numId w:val="22"/>
        </w:numPr>
      </w:pPr>
      <w:r w:rsidRPr="00E45A97">
        <w:rPr>
          <w:b/>
          <w:bCs/>
        </w:rPr>
        <w:t>结论</w:t>
      </w:r>
    </w:p>
    <w:p w14:paraId="233AACBE" w14:textId="3689CAF4" w:rsidR="00822346" w:rsidRDefault="00EC5DD9" w:rsidP="003C0BA4">
      <w:r w:rsidRPr="00EC5DD9">
        <w:t>麦当劳体系销售额的增长并非单纯依靠开店，而是由既有餐厅销售增长与餐厅网络扩张共同驱动。疫情前，全球餐厅数量增幅有限，体系销售增长主要来自既有门店的可比销售提升；疫情期间体系销售受到客流和营业限制冲击，随后伴随消费恢复、客单增长和网络扩张迅速修复。近几年公司重新加快开店，新增餐厅对体系销售的支撑增强，但近期季度数据显示，可比销售增速已经较高点明显回落，体系销售仍保持增长，主要依靠新增及非可比门店提供增量。因此，当前麦当劳的增长模式正由前期以既有门店客单和可比销售为主，逐步转向“既有门店增长放缓、网络扩张提供支撑”的组合；后续判断增长质量，关键在于客流能否恢复，以及新开门店能否达到成熟门店的销售效率。</w:t>
      </w:r>
    </w:p>
    <w:p w14:paraId="072906B2" w14:textId="77777777" w:rsidR="00027CDD" w:rsidRPr="00B06E46" w:rsidRDefault="00027CDD" w:rsidP="003C0BA4"/>
    <w:p w14:paraId="23287CEA" w14:textId="4CA8159A" w:rsidR="00027CDD" w:rsidRDefault="00027CDD" w:rsidP="00027CDD">
      <w:pPr>
        <w:pStyle w:val="ae"/>
        <w:keepNext/>
      </w:pPr>
      <w:r>
        <w:lastRenderedPageBreak/>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17</w:t>
      </w:r>
      <w:r w:rsidR="00CC796E">
        <w:fldChar w:fldCharType="end"/>
      </w:r>
      <w:r>
        <w:rPr>
          <w:rFonts w:hint="eastAsia"/>
        </w:rPr>
        <w:t>：</w:t>
      </w:r>
      <w:r w:rsidR="003520F9">
        <w:rPr>
          <w:rFonts w:hint="eastAsia"/>
        </w:rPr>
        <w:t>体系</w:t>
      </w:r>
      <w:r>
        <w:rPr>
          <w:rFonts w:hint="eastAsia"/>
        </w:rPr>
        <w:t>门店数量与</w:t>
      </w:r>
      <w:r w:rsidR="003520F9">
        <w:rPr>
          <w:rFonts w:hint="eastAsia"/>
        </w:rPr>
        <w:t>体系</w:t>
      </w:r>
      <w:r>
        <w:rPr>
          <w:rFonts w:hint="eastAsia"/>
        </w:rPr>
        <w:t>销售额增速对比</w:t>
      </w:r>
    </w:p>
    <w:p w14:paraId="63BE2744" w14:textId="4F9F3977" w:rsidR="00822346" w:rsidRDefault="00027CDD" w:rsidP="003C0BA4">
      <w:r w:rsidRPr="00027CDD">
        <w:rPr>
          <w:noProof/>
        </w:rPr>
        <w:drawing>
          <wp:inline distT="0" distB="0" distL="0" distR="0" wp14:anchorId="2A6C5769" wp14:editId="07EBA67C">
            <wp:extent cx="6645910" cy="2745105"/>
            <wp:effectExtent l="0" t="0" r="0" b="0"/>
            <wp:docPr id="1347895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95327" name=""/>
                    <pic:cNvPicPr/>
                  </pic:nvPicPr>
                  <pic:blipFill>
                    <a:blip r:embed="rId31"/>
                    <a:stretch>
                      <a:fillRect/>
                    </a:stretch>
                  </pic:blipFill>
                  <pic:spPr>
                    <a:xfrm>
                      <a:off x="0" y="0"/>
                      <a:ext cx="6645910" cy="2745105"/>
                    </a:xfrm>
                    <a:prstGeom prst="rect">
                      <a:avLst/>
                    </a:prstGeom>
                  </pic:spPr>
                </pic:pic>
              </a:graphicData>
            </a:graphic>
          </wp:inline>
        </w:drawing>
      </w:r>
    </w:p>
    <w:p w14:paraId="2B6FB785" w14:textId="7C3E6353" w:rsidR="00822346" w:rsidRPr="0028702A" w:rsidRDefault="0000067A" w:rsidP="008A6949">
      <w:pPr>
        <w:ind w:leftChars="191" w:left="420"/>
        <w:rPr>
          <w:sz w:val="20"/>
          <w:szCs w:val="21"/>
        </w:rPr>
      </w:pPr>
      <w:r w:rsidRPr="0028702A">
        <w:rPr>
          <w:rFonts w:hint="eastAsia"/>
          <w:b/>
          <w:bCs/>
          <w:sz w:val="20"/>
          <w:szCs w:val="21"/>
        </w:rPr>
        <w:t>注</w:t>
      </w:r>
      <w:r w:rsidRPr="0028702A">
        <w:rPr>
          <w:rFonts w:hint="eastAsia"/>
          <w:sz w:val="20"/>
          <w:szCs w:val="21"/>
        </w:rPr>
        <w:t>：</w:t>
      </w:r>
      <w:r w:rsidRPr="0028702A">
        <w:rPr>
          <w:sz w:val="20"/>
          <w:szCs w:val="21"/>
        </w:rPr>
        <w:t>体系销售额为底稿将</w:t>
      </w:r>
      <w:r w:rsidRPr="0028702A">
        <w:rPr>
          <w:b/>
          <w:bCs/>
          <w:sz w:val="20"/>
          <w:szCs w:val="21"/>
        </w:rPr>
        <w:t>特许经营销售额</w:t>
      </w:r>
      <w:r w:rsidRPr="0028702A">
        <w:rPr>
          <w:sz w:val="20"/>
          <w:szCs w:val="21"/>
        </w:rPr>
        <w:t>与</w:t>
      </w:r>
      <w:r w:rsidRPr="0028702A">
        <w:rPr>
          <w:b/>
          <w:bCs/>
          <w:sz w:val="20"/>
          <w:szCs w:val="21"/>
        </w:rPr>
        <w:t>直营餐厅销售额</w:t>
      </w:r>
      <w:r w:rsidRPr="0028702A">
        <w:rPr>
          <w:sz w:val="20"/>
          <w:szCs w:val="21"/>
        </w:rPr>
        <w:t>相加的重建值；美元同比据未四舍五入的金额计算，固定汇率同比为公司披露的取整增速。FY2016 净增使用 FY2016 10-K 披露的 FY2015 年末 36,525 家作基数。</w:t>
      </w:r>
    </w:p>
    <w:p w14:paraId="367E8FE5" w14:textId="77777777" w:rsidR="00A64888" w:rsidRPr="0028702A" w:rsidRDefault="00E91FFE" w:rsidP="008A6949">
      <w:pPr>
        <w:ind w:leftChars="191" w:left="420"/>
        <w:rPr>
          <w:sz w:val="20"/>
          <w:szCs w:val="21"/>
        </w:rPr>
      </w:pPr>
      <w:r w:rsidRPr="0028702A">
        <w:rPr>
          <w:sz w:val="20"/>
          <w:szCs w:val="21"/>
        </w:rPr>
        <w:t>¹“差额＝固定汇率体系销售额增速－可比销售增速”，不是新店销售贡献的披露值或精确估计。可比销售只涵盖经营至少 13 个月的餐厅，且剔除高通胀市场；体系销售额包含全部餐厅及高通胀市场。两者的基期权重、开关店时点和覆盖范围不同，差额还受这些因素及披露取整影响。</w:t>
      </w:r>
    </w:p>
    <w:p w14:paraId="2E56AD34" w14:textId="0C8FBCFE" w:rsidR="00EB6F45" w:rsidRPr="0028702A" w:rsidRDefault="00E91FFE" w:rsidP="0028702A">
      <w:pPr>
        <w:ind w:leftChars="191" w:left="420"/>
        <w:rPr>
          <w:sz w:val="20"/>
          <w:szCs w:val="21"/>
        </w:rPr>
      </w:pPr>
      <w:r w:rsidRPr="0028702A">
        <w:rPr>
          <w:sz w:val="20"/>
          <w:szCs w:val="21"/>
        </w:rPr>
        <w:t>²FY2016 美元同比为公司在当年年报披露的取整增速。</w:t>
      </w:r>
    </w:p>
    <w:p w14:paraId="7B0658B3" w14:textId="59AABE66" w:rsidR="00D10519" w:rsidRDefault="00D10519" w:rsidP="0028702A">
      <w:r w:rsidRPr="007B6FD0">
        <w:rPr>
          <w:b/>
          <w:bCs/>
        </w:rPr>
        <w:t>FY2016–FY2019：餐厅扩张较慢，既有餐厅销售</w:t>
      </w:r>
      <w:r w:rsidR="007E4AB4">
        <w:rPr>
          <w:rFonts w:hint="eastAsia"/>
          <w:b/>
          <w:bCs/>
        </w:rPr>
        <w:t>额增长</w:t>
      </w:r>
      <w:r w:rsidRPr="007B6FD0">
        <w:rPr>
          <w:b/>
          <w:bCs/>
        </w:rPr>
        <w:t>主导</w:t>
      </w:r>
      <w:r w:rsidRPr="00D10519">
        <w:t xml:space="preserve">。全球期末餐厅数由 36,899 家增至 38,695 家，累计增长 4.9%；同期美元体系销售额累计增长 17.9%，全球可比销售每年增长 3.8%–5.9%。增长并非单纯由更多顾客到店推动：全球可比交易次数在 FY2016–FY2019 分别变化 </w:t>
      </w:r>
      <w:r w:rsidRPr="00D10519">
        <w:rPr>
          <w:rFonts w:ascii="Cambria Math" w:hAnsi="Cambria Math" w:cs="Cambria Math"/>
        </w:rPr>
        <w:t>−</w:t>
      </w:r>
      <w:r w:rsidRPr="00D10519">
        <w:t>0.3%、+1.9%、+0.2%、+1.0%，明显低于相应的可比销售增速，表明平均客单持续提供重要支撑。平均客单包含菜单价格和产品组合，不能全部视为提价。美国的特征更鲜明：FY2018、FY2019 可比交易次数分别下降 2.2%、1.9%，可比销售仍增长 2.5%、5.0%。2017 年中国内地及香港业务出售改变的是餐厅所有权分类，不应将直营转为关联公司的数量计作新开店。</w:t>
      </w:r>
    </w:p>
    <w:p w14:paraId="3A81A969" w14:textId="5C63C841" w:rsidR="00DF60A2" w:rsidRDefault="00B17EEC" w:rsidP="0028702A">
      <w:r w:rsidRPr="00DF60A2">
        <w:rPr>
          <w:noProof/>
        </w:rPr>
        <w:drawing>
          <wp:inline distT="0" distB="0" distL="0" distR="0" wp14:anchorId="784C5AE9" wp14:editId="2448864C">
            <wp:extent cx="5658416" cy="1420281"/>
            <wp:effectExtent l="0" t="0" r="0" b="2540"/>
            <wp:docPr id="1059391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91612" name=""/>
                    <pic:cNvPicPr/>
                  </pic:nvPicPr>
                  <pic:blipFill>
                    <a:blip r:embed="rId32"/>
                    <a:stretch>
                      <a:fillRect/>
                    </a:stretch>
                  </pic:blipFill>
                  <pic:spPr>
                    <a:xfrm>
                      <a:off x="0" y="0"/>
                      <a:ext cx="5690863" cy="1428425"/>
                    </a:xfrm>
                    <a:prstGeom prst="rect">
                      <a:avLst/>
                    </a:prstGeom>
                  </pic:spPr>
                </pic:pic>
              </a:graphicData>
            </a:graphic>
          </wp:inline>
        </w:drawing>
      </w:r>
    </w:p>
    <w:p w14:paraId="011A5CE3" w14:textId="1C0F3B98" w:rsidR="00F1561E" w:rsidRDefault="00F1561E" w:rsidP="0028702A">
      <w:r w:rsidRPr="00F1561E">
        <w:rPr>
          <w:b/>
          <w:bCs/>
        </w:rPr>
        <w:t>FY2020–FY2022：疫情和俄罗斯退出扰动餐厅数量，销售变化主要由既有店表现决定。</w:t>
      </w:r>
      <w:r w:rsidRPr="00F1561E">
        <w:t>FY2020 全球期末餐厅仍净增 503 家，但可比销售下降 7.7%、固定汇率体系销售额下降约 7%；公司指出各分部可比交易次数均为负，说明增加餐厅不足以抵消既有店需求受到的冲击。FY2021 可比销售反弹 17.0%，带动固定汇率体系销售额增长约 18%；其中美国年报明确指出平均客单增长是重要驱动，但公司未披露可用于逐分部量化拆分的完整客流、客单序列。FY2022 全球可比销售增长 10.9%，与固定汇率体系销售额约 11% 的增速接近；美国增长继续受平均客单及菜单提价支持，而全球期末餐厅仅净增 244 家，受到出售俄罗斯业务所致 855 家餐</w:t>
      </w:r>
      <w:r w:rsidRPr="00F1561E">
        <w:lastRenderedPageBreak/>
        <w:t>厅关闭的影响。因此，这一年的“净开店弱”包含一次性退出因素，不能解读为正常开店能力下降。</w:t>
      </w:r>
    </w:p>
    <w:p w14:paraId="729C7990" w14:textId="021A6ABD" w:rsidR="00EB6F45" w:rsidRDefault="00317544" w:rsidP="00EB6F45">
      <w:r w:rsidRPr="00317544">
        <w:rPr>
          <w:b/>
          <w:bCs/>
        </w:rPr>
        <w:t>FY2023–FY2025：网络扩张加速，但既有店销售的支撑减弱，二者在 FY2025 重新共同贡献增长。</w:t>
      </w:r>
      <w:r w:rsidRPr="00317544">
        <w:t xml:space="preserve">全球餐厅年度净增由 1,547 家升至 1,879 家，可比销售增速则由 FY2023 的 9.0% 降至 FY2024 的 </w:t>
      </w:r>
      <w:r w:rsidRPr="00317544">
        <w:rPr>
          <w:rFonts w:ascii="Cambria Math" w:hAnsi="Cambria Math" w:cs="Cambria Math"/>
        </w:rPr>
        <w:t>−</w:t>
      </w:r>
      <w:r w:rsidRPr="00317544">
        <w:t>0.1%，FY2025 恢复至 3.1%。FY2023 美国可比销售主要受平均客单增长及菜单提价推动；到 FY2024，美国虽仍有客单增长，可比交易次数转负，全球可比销售也略降。该年固定汇率体系销售额仍增长约 2%，说明非可比餐厅及其他口径因素对总量形成支撑，但其与可比销售的 2.1 个百分点差额不是可直接归属于新店的销售贡献。FY2025 固定汇率体系销售额增长约 5%，同时伴随持续净开店和可比销售恢复；年报仍指出美国受平均客单增长支持，却未披露足以量化全球交易次数与客单各自贡献的数据。</w:t>
      </w:r>
    </w:p>
    <w:p w14:paraId="77F07ECC" w14:textId="12019ED4" w:rsidR="00EB6F45" w:rsidRDefault="00EB6F45" w:rsidP="00606603">
      <w:pPr>
        <w:tabs>
          <w:tab w:val="left" w:pos="627"/>
        </w:tabs>
      </w:pPr>
    </w:p>
    <w:p w14:paraId="4FB967C2" w14:textId="1B486377" w:rsidR="00A74335" w:rsidRDefault="00A74335" w:rsidP="00A74335">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18</w:t>
      </w:r>
      <w:r w:rsidR="00CC796E">
        <w:fldChar w:fldCharType="end"/>
      </w:r>
      <w:r>
        <w:rPr>
          <w:rFonts w:hint="eastAsia"/>
        </w:rPr>
        <w:t>：分部</w:t>
      </w:r>
      <w:r w:rsidRPr="008304D5">
        <w:t>门店数量与</w:t>
      </w:r>
      <w:r>
        <w:rPr>
          <w:rFonts w:hint="eastAsia"/>
        </w:rPr>
        <w:t>分部</w:t>
      </w:r>
      <w:r w:rsidRPr="008304D5">
        <w:t>销售额增速对比</w:t>
      </w:r>
    </w:p>
    <w:p w14:paraId="4A785FA7" w14:textId="76857638" w:rsidR="00606603" w:rsidRPr="00EB6F45" w:rsidRDefault="00606603" w:rsidP="00606603">
      <w:pPr>
        <w:tabs>
          <w:tab w:val="left" w:pos="627"/>
        </w:tabs>
      </w:pPr>
      <w:r w:rsidRPr="00606603">
        <w:rPr>
          <w:noProof/>
        </w:rPr>
        <w:drawing>
          <wp:inline distT="0" distB="0" distL="0" distR="0" wp14:anchorId="79153668" wp14:editId="13483158">
            <wp:extent cx="6645910" cy="2600325"/>
            <wp:effectExtent l="0" t="0" r="0" b="3175"/>
            <wp:docPr id="333716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16251" name=""/>
                    <pic:cNvPicPr/>
                  </pic:nvPicPr>
                  <pic:blipFill>
                    <a:blip r:embed="rId33"/>
                    <a:stretch>
                      <a:fillRect/>
                    </a:stretch>
                  </pic:blipFill>
                  <pic:spPr>
                    <a:xfrm>
                      <a:off x="0" y="0"/>
                      <a:ext cx="6645910" cy="2600325"/>
                    </a:xfrm>
                    <a:prstGeom prst="rect">
                      <a:avLst/>
                    </a:prstGeom>
                  </pic:spPr>
                </pic:pic>
              </a:graphicData>
            </a:graphic>
          </wp:inline>
        </w:drawing>
      </w:r>
    </w:p>
    <w:p w14:paraId="603D511E" w14:textId="04BFBBA3" w:rsidR="00EB6F45" w:rsidRPr="00EB6F45" w:rsidRDefault="009527DB" w:rsidP="00EB6F45">
      <w:r w:rsidRPr="009527DB">
        <w:t>长期的分部差异十分显著。以重划后数据较完整的 FY2018–FY2025 比较，美国餐厅数下降 1.5%、美元体系销售额增长 42.9%；IOM 餐厅数增长 5.7%、销售额增长 41.9%；IDL 餐厅数增长 52.1%、销售额增长 52.7%。这说明美国和 IOM 的长期销售额增长不能主要用期末餐厅净扩张解释，而 IDL 的美元销售总量增长与网络规模扩张更接近。</w:t>
      </w:r>
    </w:p>
    <w:p w14:paraId="0C57CE1D" w14:textId="127A9871" w:rsidR="00766410" w:rsidRDefault="00766410" w:rsidP="00766410">
      <w:pPr>
        <w:pStyle w:val="ae"/>
        <w:keepNext/>
      </w:pPr>
      <w:r>
        <w:lastRenderedPageBreak/>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19</w:t>
      </w:r>
      <w:r w:rsidR="00CC796E">
        <w:fldChar w:fldCharType="end"/>
      </w:r>
      <w:r>
        <w:rPr>
          <w:rFonts w:hint="eastAsia"/>
        </w:rPr>
        <w:t>：固定汇率体系销售额增速与可比销售额增速</w:t>
      </w:r>
    </w:p>
    <w:p w14:paraId="2B5DD33A" w14:textId="55CB07E2" w:rsidR="00EB6F45" w:rsidRPr="00EB6F45" w:rsidRDefault="00766410" w:rsidP="00EB6F45">
      <w:r w:rsidRPr="00766410">
        <w:rPr>
          <w:noProof/>
        </w:rPr>
        <w:drawing>
          <wp:inline distT="0" distB="0" distL="0" distR="0" wp14:anchorId="68FA4F87" wp14:editId="0A1ED267">
            <wp:extent cx="6645910" cy="3496945"/>
            <wp:effectExtent l="0" t="0" r="0" b="0"/>
            <wp:docPr id="420940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40508" name=""/>
                    <pic:cNvPicPr/>
                  </pic:nvPicPr>
                  <pic:blipFill>
                    <a:blip r:embed="rId34"/>
                    <a:stretch>
                      <a:fillRect/>
                    </a:stretch>
                  </pic:blipFill>
                  <pic:spPr>
                    <a:xfrm>
                      <a:off x="0" y="0"/>
                      <a:ext cx="6645910" cy="3496945"/>
                    </a:xfrm>
                    <a:prstGeom prst="rect">
                      <a:avLst/>
                    </a:prstGeom>
                  </pic:spPr>
                </pic:pic>
              </a:graphicData>
            </a:graphic>
          </wp:inline>
        </w:drawing>
      </w:r>
    </w:p>
    <w:p w14:paraId="4475BEA0" w14:textId="23C34A9A" w:rsidR="00992BF5" w:rsidRPr="00F9158B" w:rsidRDefault="00992BF5" w:rsidP="00F9158B">
      <w:pPr>
        <w:ind w:leftChars="191" w:left="420"/>
        <w:rPr>
          <w:sz w:val="20"/>
          <w:szCs w:val="21"/>
        </w:rPr>
      </w:pPr>
      <w:r>
        <w:rPr>
          <w:rFonts w:hint="eastAsia"/>
          <w:b/>
          <w:bCs/>
          <w:sz w:val="20"/>
          <w:szCs w:val="21"/>
        </w:rPr>
        <w:t>注：</w:t>
      </w:r>
      <w:r w:rsidRPr="00992BF5">
        <w:rPr>
          <w:sz w:val="20"/>
          <w:szCs w:val="21"/>
        </w:rPr>
        <w:t>固定汇率体系销售额增速：美国所有餐厅的销售额同比变化，包含新店、老店及关闭餐厅的影响。美国销售额以美元计，实际上没有汇率换算问题。可比销售增速：仅比较已营业至少 13 个月的餐厅在两期的销售额，用来观察既有餐厅表现。</w:t>
      </w:r>
    </w:p>
    <w:p w14:paraId="72541E1E" w14:textId="52132B6C" w:rsidR="005528BB" w:rsidRDefault="005528BB" w:rsidP="005528BB">
      <w:r w:rsidRPr="005528BB">
        <w:rPr>
          <w:b/>
          <w:bCs/>
        </w:rPr>
        <w:t>美国</w:t>
      </w:r>
      <w:r>
        <w:t>：体系销售额长期靠存量餐厅产生增长。 FY2018–FY2023，期末餐厅数由 13,914 家降至 13,457 家，但美元体系销售额由 385.2 亿美元增至 531.4 亿美元。尤其 FY2021–FY2023，固定汇率体系增速与可比增速相近，餐厅数总体没有提供明显的净增长。FY2024–FY2025 美国恢复净开店，但体系销售额增速仍主要取决于可比销售能否改善。至于可比销售内部由交易次数还是客单贡献，本节只保留数量证据，不提前归入“价格”。</w:t>
      </w:r>
    </w:p>
    <w:p w14:paraId="20145A9D" w14:textId="77777777" w:rsidR="005528BB" w:rsidRDefault="005528BB" w:rsidP="005528BB">
      <w:r w:rsidRPr="005528BB">
        <w:rPr>
          <w:b/>
          <w:bCs/>
        </w:rPr>
        <w:t>IOM</w:t>
      </w:r>
      <w:r>
        <w:t xml:space="preserve">：2022 年不能按正常开店模型解读。 FY2022 期末餐厅减少 682 家，主要受到俄罗斯业务出售影响；与此同时可比销售增长 13.3%，固定汇率体系销售额仍增长约 11%，美元销售额因汇率影响仅增长约 0.4%。此后 FY2023–FY2025 餐厅数恢复增长，可比销售先高后弱再回升。FY2024 可比销售为 </w:t>
      </w:r>
      <w:r>
        <w:rPr>
          <w:rFonts w:ascii="Cambria Math" w:hAnsi="Cambria Math" w:cs="Cambria Math"/>
        </w:rPr>
        <w:t>−</w:t>
      </w:r>
      <w:r>
        <w:t>0.2%，但固定汇率体系销售额增长约 2%；这支持“非可比餐厅及其他范围因素提供增长”的方向判断，不支持精确的新店销售额测算。</w:t>
      </w:r>
    </w:p>
    <w:p w14:paraId="497D1E0E" w14:textId="47E4FA4C" w:rsidR="00EB6F45" w:rsidRPr="00EB6F45" w:rsidRDefault="005528BB" w:rsidP="005528BB">
      <w:r w:rsidRPr="005528BB">
        <w:rPr>
          <w:b/>
          <w:bCs/>
        </w:rPr>
        <w:t>IDL</w:t>
      </w:r>
      <w:r>
        <w:t>：餐厅扩张更重要，也最容易被美元口径误读。 FY2024 期末餐厅数增长约 7.2%，固定汇率体系销售额增长约 4%，可比销售下降 0.3%，美元体系销售额却几乎持平。公司指出当年中国可比销售为负，且中东战争的持续影响拖累部分市场。由此可以确认“网络扩张没有同步带来相同比例的美元销售增长”，却不能断言新店销售低于预期：汇率、开店时间、不同国家的新店占比及可比销售口径均有影响。FY2025 IDL 固定汇率体系销售额增长约 10%、可比销售增长 4.6%，与持续的约 7.2% 餐厅数增长共同构成恢复。</w:t>
      </w:r>
    </w:p>
    <w:p w14:paraId="5FF6CB96" w14:textId="77777777" w:rsidR="00EB6F45" w:rsidRPr="00EB6F45" w:rsidRDefault="00EB6F45" w:rsidP="00EB6F45"/>
    <w:p w14:paraId="332FFB7B" w14:textId="3EEBCFCC" w:rsidR="00775112" w:rsidRDefault="00775112" w:rsidP="00775112">
      <w:pPr>
        <w:pStyle w:val="ae"/>
        <w:keepNext/>
      </w:pPr>
      <w:r>
        <w:lastRenderedPageBreak/>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20</w:t>
      </w:r>
      <w:r w:rsidR="00CC796E">
        <w:fldChar w:fldCharType="end"/>
      </w:r>
      <w:r>
        <w:rPr>
          <w:rFonts w:hint="eastAsia"/>
        </w:rPr>
        <w:t>：单店销售额</w:t>
      </w:r>
    </w:p>
    <w:p w14:paraId="19ED24CB" w14:textId="76F83189" w:rsidR="00EB6F45" w:rsidRPr="00EB6F45" w:rsidRDefault="00775112" w:rsidP="00EB6F45">
      <w:r w:rsidRPr="00775112">
        <w:rPr>
          <w:noProof/>
        </w:rPr>
        <w:drawing>
          <wp:inline distT="0" distB="0" distL="0" distR="0" wp14:anchorId="2A9151C0" wp14:editId="515F3E8C">
            <wp:extent cx="6645910" cy="3138170"/>
            <wp:effectExtent l="0" t="0" r="0" b="0"/>
            <wp:docPr id="496764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64130" name=""/>
                    <pic:cNvPicPr/>
                  </pic:nvPicPr>
                  <pic:blipFill>
                    <a:blip r:embed="rId35"/>
                    <a:stretch>
                      <a:fillRect/>
                    </a:stretch>
                  </pic:blipFill>
                  <pic:spPr>
                    <a:xfrm>
                      <a:off x="0" y="0"/>
                      <a:ext cx="6645910" cy="3138170"/>
                    </a:xfrm>
                    <a:prstGeom prst="rect">
                      <a:avLst/>
                    </a:prstGeom>
                  </pic:spPr>
                </pic:pic>
              </a:graphicData>
            </a:graphic>
          </wp:inline>
        </w:drawing>
      </w:r>
    </w:p>
    <w:p w14:paraId="39A9376B" w14:textId="447FF337" w:rsidR="00EB6F45" w:rsidRPr="003D5695" w:rsidRDefault="003D5695" w:rsidP="003D5695">
      <w:pPr>
        <w:ind w:leftChars="191" w:left="420"/>
        <w:rPr>
          <w:b/>
          <w:bCs/>
          <w:sz w:val="20"/>
          <w:szCs w:val="21"/>
        </w:rPr>
      </w:pPr>
      <w:r w:rsidRPr="003D5695">
        <w:rPr>
          <w:rFonts w:hint="eastAsia"/>
          <w:b/>
          <w:bCs/>
          <w:sz w:val="20"/>
          <w:szCs w:val="21"/>
        </w:rPr>
        <w:t xml:space="preserve">注：单店销售额 = </w:t>
      </w:r>
      <w:r w:rsidRPr="003D5695">
        <w:rPr>
          <w:b/>
          <w:bCs/>
          <w:sz w:val="20"/>
          <w:szCs w:val="21"/>
        </w:rPr>
        <w:t>分部全年体系销售额 ÷（上年末餐厅数＋本年末餐厅数）／2</w:t>
      </w:r>
    </w:p>
    <w:p w14:paraId="2BBFDC23" w14:textId="156462F9" w:rsidR="00EB6F45" w:rsidRPr="00EB6F45" w:rsidRDefault="003D5695" w:rsidP="00EB6F45">
      <w:r w:rsidRPr="003D5695">
        <w:t>FY2018–FY2025 美国和 IOM 分别由 2.76、3.36 百万美元升至 4.04、4.55 百万美元；IDL 由 1.75 百万美元升至 1.78 百万美元，美元口径几乎持平。</w:t>
      </w:r>
    </w:p>
    <w:p w14:paraId="7A6D0380" w14:textId="77777777" w:rsidR="00EB6F45" w:rsidRPr="00EB6F45" w:rsidRDefault="00EB6F45" w:rsidP="00EB6F45"/>
    <w:p w14:paraId="5A4F96AA" w14:textId="5926D869" w:rsidR="006F1EE1" w:rsidRDefault="006F1EE1" w:rsidP="006F1EE1">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21</w:t>
      </w:r>
      <w:r w:rsidR="00CC796E">
        <w:fldChar w:fldCharType="end"/>
      </w:r>
      <w:r>
        <w:rPr>
          <w:rFonts w:hint="eastAsia"/>
        </w:rPr>
        <w:t>：近</w:t>
      </w:r>
      <w:r>
        <w:rPr>
          <w:rFonts w:hint="eastAsia"/>
        </w:rPr>
        <w:t>4</w:t>
      </w:r>
      <w:r>
        <w:rPr>
          <w:rFonts w:hint="eastAsia"/>
        </w:rPr>
        <w:t>个季度销售额</w:t>
      </w:r>
    </w:p>
    <w:p w14:paraId="6ED2441A" w14:textId="3C5B7D1F" w:rsidR="00EB6F45" w:rsidRPr="00EB6F45" w:rsidRDefault="006F1EE1" w:rsidP="003C0BA4">
      <w:r w:rsidRPr="006F1EE1">
        <w:rPr>
          <w:noProof/>
        </w:rPr>
        <w:drawing>
          <wp:inline distT="0" distB="0" distL="0" distR="0" wp14:anchorId="1CDBE39C" wp14:editId="77193EC3">
            <wp:extent cx="6645910" cy="1225550"/>
            <wp:effectExtent l="0" t="0" r="0" b="6350"/>
            <wp:docPr id="1344532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32981" name=""/>
                    <pic:cNvPicPr/>
                  </pic:nvPicPr>
                  <pic:blipFill>
                    <a:blip r:embed="rId36"/>
                    <a:stretch>
                      <a:fillRect/>
                    </a:stretch>
                  </pic:blipFill>
                  <pic:spPr>
                    <a:xfrm>
                      <a:off x="0" y="0"/>
                      <a:ext cx="6645910" cy="1225550"/>
                    </a:xfrm>
                    <a:prstGeom prst="rect">
                      <a:avLst/>
                    </a:prstGeom>
                  </pic:spPr>
                </pic:pic>
              </a:graphicData>
            </a:graphic>
          </wp:inline>
        </w:drawing>
      </w:r>
    </w:p>
    <w:p w14:paraId="6992F517" w14:textId="3300D7A1" w:rsidR="00EB6F45" w:rsidRPr="00EB6F45" w:rsidRDefault="00672F71" w:rsidP="003C0BA4">
      <w:r w:rsidRPr="00672F71">
        <w:t>近四个季度，麦当劳体系销售额保持同比增长，但季度之间出现明显波动。FY2025 Q4 和 FY2026 Q1 是近四季度体系销售增长最强的阶段。FY2025 Q4 全球可比销售增长 5.7%，美国、IOM 和 IDL 均实现超过 4%的增长；公司同时披露全球客流为正，客单增长也提供支持。FY2026 Q1 全球可比销售仍增长 3.8%，三个分部均保持 3%以上增长，体系销售额报告口径增长 11%。</w:t>
      </w:r>
    </w:p>
    <w:p w14:paraId="0BE9CD8D" w14:textId="03D57916" w:rsidR="00EB6F45" w:rsidRPr="00EB6F45" w:rsidRDefault="00672F71" w:rsidP="003C0BA4">
      <w:r w:rsidRPr="00672F71">
        <w:t>FY2026 Q2 出现明显放缓。全球可比销售降至 1.3%，美国仅增长 0.8%，IOM 为 1.5%，IDL 为 1.9%；体系销售额报告口径仍增长 5%，固定汇率增长 4%。美国方面，公司披露客单增长，其中包含有利的产品组合，但客流为负；IDL 则受到中国市场拖累。</w:t>
      </w:r>
    </w:p>
    <w:p w14:paraId="67AEE85C" w14:textId="40AB3473" w:rsidR="00EB6F45" w:rsidRPr="00EB6F45" w:rsidRDefault="00672F71" w:rsidP="003C0BA4">
      <w:r w:rsidRPr="00672F71">
        <w:t>FY2026 Q2 体系销售额增速仍高于可比销售，主要说明新增餐厅及非可比餐厅仍在贡献销售额，同时报告口径还包含高通胀市场和汇率影响。</w:t>
      </w:r>
    </w:p>
    <w:p w14:paraId="23D97749" w14:textId="77777777" w:rsidR="00EB6F45" w:rsidRDefault="00EB6F45" w:rsidP="003C0BA4"/>
    <w:p w14:paraId="6ACFD5C8" w14:textId="55C991E6" w:rsidR="00720B5F" w:rsidRDefault="00344091" w:rsidP="00720B5F">
      <w:pPr>
        <w:pStyle w:val="3"/>
      </w:pPr>
      <w:r>
        <w:rPr>
          <w:rFonts w:hint="eastAsia"/>
        </w:rPr>
        <w:lastRenderedPageBreak/>
        <w:t>特许经营</w:t>
      </w:r>
      <w:r w:rsidR="00720B5F">
        <w:rPr>
          <w:rFonts w:hint="eastAsia"/>
        </w:rPr>
        <w:t>收入</w:t>
      </w:r>
      <w:r>
        <w:rPr>
          <w:rFonts w:hint="eastAsia"/>
        </w:rPr>
        <w:t>与Take Rate</w:t>
      </w:r>
    </w:p>
    <w:p w14:paraId="23837803" w14:textId="77777777" w:rsidR="00C6603F" w:rsidRPr="00C6603F" w:rsidRDefault="00C6603F">
      <w:pPr>
        <w:pStyle w:val="a9"/>
        <w:numPr>
          <w:ilvl w:val="0"/>
          <w:numId w:val="12"/>
        </w:numPr>
        <w:rPr>
          <w:b/>
          <w:bCs/>
        </w:rPr>
      </w:pPr>
      <w:r w:rsidRPr="00C6603F">
        <w:rPr>
          <w:rFonts w:hint="eastAsia"/>
          <w:b/>
          <w:bCs/>
        </w:rPr>
        <w:t>结论</w:t>
      </w:r>
    </w:p>
    <w:p w14:paraId="6330B9AE" w14:textId="0F113DFB" w:rsidR="00C6603F" w:rsidRDefault="00C6603F" w:rsidP="00C6603F">
      <w:r>
        <w:t>麦当劳已经从“直营餐厅销售额占比较高”的收入结构，逐步转向以特许经营收入为主的轻资产模式。体系销售额反映整个麦当劳网络的终端销售，但麦当劳自身确认的收入只包括直营餐厅销售额，以及加盟商支付的租金、特许权使用费和相关费用。因此，体系销售额增长不会等比例转化为麦当劳收入，收入增长还受到直营与加盟结构变化的影响。</w:t>
      </w:r>
    </w:p>
    <w:p w14:paraId="0FC1C46F" w14:textId="5F502BB7" w:rsidR="00720B5F" w:rsidRDefault="00C6603F" w:rsidP="00C6603F">
      <w:r>
        <w:t>特许经营收入与加盟商销售额之间的隐含 take rate 长期保持稳定，整体大致处于 12.6%—13.0%区间。美国和 IOM 的 take rate 明显高于 IDL，主要是由于美国传统特许经营通常同时包含租金和特许权使用费，而 IDL 主要采用基于销售额的 royalty 模式。近几个季度 take rate 仍保持稳定，体系销售增长放缓并不是由收费比例下降造成，后续收入增长的核心仍是加盟体系销售额和餐厅网络扩张。</w:t>
      </w:r>
    </w:p>
    <w:p w14:paraId="5977F902" w14:textId="77777777" w:rsidR="008A1919" w:rsidRDefault="008A1919" w:rsidP="003C0BA4"/>
    <w:p w14:paraId="55F6FEF1" w14:textId="60FB86CB" w:rsidR="00EF67A1" w:rsidRDefault="00EF67A1" w:rsidP="00EF67A1">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22</w:t>
      </w:r>
      <w:r w:rsidR="00CC796E">
        <w:fldChar w:fldCharType="end"/>
      </w:r>
      <w:r>
        <w:rPr>
          <w:rFonts w:hint="eastAsia"/>
        </w:rPr>
        <w:t>：全球收入桥接</w:t>
      </w:r>
      <w:r w:rsidR="0009613C">
        <w:rPr>
          <w:rFonts w:hint="eastAsia"/>
        </w:rPr>
        <w:t>（十亿美元）</w:t>
      </w:r>
    </w:p>
    <w:p w14:paraId="73E5D301" w14:textId="61B3FC81" w:rsidR="00720B5F" w:rsidRDefault="00E52E82" w:rsidP="003C0BA4">
      <w:r w:rsidRPr="00E52E82">
        <w:rPr>
          <w:noProof/>
        </w:rPr>
        <w:drawing>
          <wp:inline distT="0" distB="0" distL="0" distR="0" wp14:anchorId="5183661D" wp14:editId="07A57558">
            <wp:extent cx="6645910" cy="2541905"/>
            <wp:effectExtent l="0" t="0" r="0" b="0"/>
            <wp:docPr id="1940644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44650" name=""/>
                    <pic:cNvPicPr/>
                  </pic:nvPicPr>
                  <pic:blipFill>
                    <a:blip r:embed="rId37"/>
                    <a:stretch>
                      <a:fillRect/>
                    </a:stretch>
                  </pic:blipFill>
                  <pic:spPr>
                    <a:xfrm>
                      <a:off x="0" y="0"/>
                      <a:ext cx="6645910" cy="2541905"/>
                    </a:xfrm>
                    <a:prstGeom prst="rect">
                      <a:avLst/>
                    </a:prstGeom>
                  </pic:spPr>
                </pic:pic>
              </a:graphicData>
            </a:graphic>
          </wp:inline>
        </w:drawing>
      </w:r>
    </w:p>
    <w:p w14:paraId="66E1C9D3" w14:textId="621C0DB1" w:rsidR="00D932BA" w:rsidRPr="00D932BA" w:rsidRDefault="00D932BA" w:rsidP="00D932BA">
      <w:pPr>
        <w:ind w:leftChars="191" w:left="420"/>
        <w:rPr>
          <w:b/>
          <w:bCs/>
          <w:sz w:val="20"/>
          <w:szCs w:val="21"/>
        </w:rPr>
      </w:pPr>
      <w:r w:rsidRPr="00D932BA">
        <w:rPr>
          <w:rFonts w:hint="eastAsia"/>
          <w:b/>
          <w:bCs/>
          <w:sz w:val="20"/>
          <w:szCs w:val="21"/>
        </w:rPr>
        <w:t>注：</w:t>
      </w:r>
      <w:r w:rsidRPr="00D932BA">
        <w:rPr>
          <w:sz w:val="20"/>
          <w:szCs w:val="21"/>
        </w:rPr>
        <w:t>特许经营 take rate = 特许经营收入 ÷ 加盟商销售额</w:t>
      </w:r>
    </w:p>
    <w:p w14:paraId="79F83A2A" w14:textId="0256C5AF" w:rsidR="00720B5F" w:rsidRDefault="005D2936" w:rsidP="003C0BA4">
      <w:r w:rsidRPr="005D2936">
        <w:rPr>
          <w:b/>
          <w:bCs/>
        </w:rPr>
        <w:t>FY2016—FY2019：体系销售增长没有等比例转化为收入增长</w:t>
      </w:r>
      <w:r w:rsidRPr="005D2936">
        <w:rPr>
          <w:rFonts w:hint="eastAsia"/>
          <w:b/>
          <w:bCs/>
        </w:rPr>
        <w:t>。</w:t>
      </w:r>
      <w:r w:rsidRPr="005D2936">
        <w:t>FY2016—FY2019，体系销售额由 850 亿美元增至约 1,002 亿美元，但麦当劳总收入反而由 246 亿美元降至 214 亿美元。这并不是终端销售恶化，而是公司持续推动直营餐厅特许经营化，直营销售额下降，加盟商销售额占比提高。直营餐厅销售额按销售总额计入麦当劳收入，而加盟餐厅只贡献租金和</w:t>
      </w:r>
      <w:r w:rsidR="00984E0A">
        <w:rPr>
          <w:rFonts w:hint="eastAsia"/>
        </w:rPr>
        <w:t>特许权使用费（</w:t>
      </w:r>
      <w:r w:rsidR="00984E0A" w:rsidRPr="005D2936">
        <w:t>royalty</w:t>
      </w:r>
      <w:r w:rsidR="00984E0A">
        <w:rPr>
          <w:rFonts w:hint="eastAsia"/>
        </w:rPr>
        <w:t>）</w:t>
      </w:r>
      <w:r w:rsidRPr="005D2936">
        <w:t>，因此同样规模的终端销售，在加盟化后会带来更低的合并收入，但通常具有更高的利润率和更轻的资本投入。</w:t>
      </w:r>
    </w:p>
    <w:p w14:paraId="1C9B16CA" w14:textId="4E935060" w:rsidR="00720B5F" w:rsidRDefault="00904C37" w:rsidP="00904C37">
      <w:r w:rsidRPr="00904C37">
        <w:rPr>
          <w:b/>
          <w:bCs/>
        </w:rPr>
        <w:t>FY2020—FY2021：疫情冲击与恢复同步作用于两类收入</w:t>
      </w:r>
      <w:r w:rsidRPr="00904C37">
        <w:rPr>
          <w:rFonts w:hint="eastAsia"/>
          <w:b/>
          <w:bCs/>
        </w:rPr>
        <w:t>。</w:t>
      </w:r>
      <w:r>
        <w:t>FY2020，疫情同时冲击加盟商销售额和直营销售额，体系销售、特许经营收入、直营销售额和麦当劳总收入均出现下降。FY2021，随着餐厅经营恢复，加盟商销售额和直营销售额同步反弹，麦当劳总收入恢复增长。特许经营 take rate 仍维持在约 12.7%，说明这一阶段收入波动主要来自销售规模变化，而非收费比例发生变化。</w:t>
      </w:r>
    </w:p>
    <w:p w14:paraId="40B608EA" w14:textId="71F46687" w:rsidR="00AC730C" w:rsidRPr="00D932BA" w:rsidRDefault="00A65C9A" w:rsidP="003C0BA4">
      <w:r w:rsidRPr="00A65C9A">
        <w:rPr>
          <w:b/>
          <w:bCs/>
        </w:rPr>
        <w:t>FY2022—FY2025：收入增长越来越依赖加盟体系销售额</w:t>
      </w:r>
      <w:r w:rsidRPr="00A65C9A">
        <w:rPr>
          <w:rFonts w:hint="eastAsia"/>
          <w:b/>
          <w:bCs/>
        </w:rPr>
        <w:t>。</w:t>
      </w:r>
      <w:r w:rsidRPr="00A65C9A">
        <w:t>FY2022—FY2025，体系销售额和加盟商销售额持续增长，特许经营收入由约 141 亿美元增至 165 亿美元；同期直营销售额基本在 87—98 亿美元之间波动，未形成持续增长趋势。</w:t>
      </w:r>
      <w:r w:rsidR="00AF1A1C" w:rsidRPr="00AF1A1C">
        <w:t>FY2025，特许经营收入已经占麦当劳总收入约 61.6%，直营销售额占比降至约 36.0%。</w:t>
      </w:r>
    </w:p>
    <w:p w14:paraId="41E68EDC" w14:textId="77777777" w:rsidR="00AC730C" w:rsidRDefault="00AC730C" w:rsidP="003C0BA4"/>
    <w:p w14:paraId="0B06DC98" w14:textId="4ED6A714" w:rsidR="00CB0EB9" w:rsidRDefault="00CB0EB9" w:rsidP="00CB0EB9">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23</w:t>
      </w:r>
      <w:r w:rsidR="00CC796E">
        <w:fldChar w:fldCharType="end"/>
      </w:r>
      <w:r>
        <w:rPr>
          <w:rFonts w:hint="eastAsia"/>
        </w:rPr>
        <w:t>：分部</w:t>
      </w:r>
      <w:r>
        <w:rPr>
          <w:rFonts w:hint="eastAsia"/>
        </w:rPr>
        <w:t>Take Rate</w:t>
      </w:r>
    </w:p>
    <w:p w14:paraId="3BFAAC4E" w14:textId="17FDFF9B" w:rsidR="00720B5F" w:rsidRDefault="000A3952" w:rsidP="003C0BA4">
      <w:r w:rsidRPr="000A3952">
        <w:rPr>
          <w:noProof/>
        </w:rPr>
        <w:drawing>
          <wp:inline distT="0" distB="0" distL="0" distR="0" wp14:anchorId="06439DAD" wp14:editId="4CD5F8E2">
            <wp:extent cx="6645910" cy="3489960"/>
            <wp:effectExtent l="0" t="0" r="0" b="2540"/>
            <wp:docPr id="1172360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60758" name=""/>
                    <pic:cNvPicPr/>
                  </pic:nvPicPr>
                  <pic:blipFill>
                    <a:blip r:embed="rId38"/>
                    <a:stretch>
                      <a:fillRect/>
                    </a:stretch>
                  </pic:blipFill>
                  <pic:spPr>
                    <a:xfrm>
                      <a:off x="0" y="0"/>
                      <a:ext cx="6645910" cy="3489960"/>
                    </a:xfrm>
                    <a:prstGeom prst="rect">
                      <a:avLst/>
                    </a:prstGeom>
                  </pic:spPr>
                </pic:pic>
              </a:graphicData>
            </a:graphic>
          </wp:inline>
        </w:drawing>
      </w:r>
    </w:p>
    <w:p w14:paraId="06D889CA" w14:textId="1128879C" w:rsidR="00195516" w:rsidRDefault="00195516" w:rsidP="00195516">
      <w:r>
        <w:t>美国 take rate 长期约为 14%，主要原因是传统特许经营安排通常同时包含租金和按销售额收取的</w:t>
      </w:r>
      <w:r w:rsidR="00074E9D">
        <w:t>royalty</w:t>
      </w:r>
      <w:r>
        <w:t>。</w:t>
      </w:r>
    </w:p>
    <w:p w14:paraId="3C2AC354" w14:textId="77777777" w:rsidR="00195516" w:rsidRDefault="00195516" w:rsidP="00195516">
      <w:r>
        <w:t>IOM take rate 约为 17%，高于美国，反映其加盟结构、租赁安排、市场组合及收入确认方式存在差异。</w:t>
      </w:r>
    </w:p>
    <w:p w14:paraId="4F944927" w14:textId="77777777" w:rsidR="00195516" w:rsidRDefault="00195516" w:rsidP="00195516">
      <w:r>
        <w:t>IDL take rate 仅约 5%—5.6%，主要是由于发展授权和关联公司安排更多体现为销售额 royalty，通常不包含与传统特许经营相同的租金收入。因此，</w:t>
      </w:r>
      <w:r w:rsidRPr="00017EC9">
        <w:rPr>
          <w:b/>
          <w:bCs/>
        </w:rPr>
        <w:t>IDL 体系销售额增长向麦当劳收入的转化率较低，但相应的直营资本投入也更少</w:t>
      </w:r>
      <w:r>
        <w:t>。</w:t>
      </w:r>
    </w:p>
    <w:p w14:paraId="78E50278" w14:textId="77777777" w:rsidR="00D06E9D" w:rsidRDefault="00D06E9D" w:rsidP="003C0BA4"/>
    <w:p w14:paraId="18DBF2DE" w14:textId="7EEC8F05" w:rsidR="003F606C" w:rsidRDefault="003F606C" w:rsidP="003F606C">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24</w:t>
      </w:r>
      <w:r w:rsidR="00CC796E">
        <w:fldChar w:fldCharType="end"/>
      </w:r>
      <w:r>
        <w:rPr>
          <w:rFonts w:hint="eastAsia"/>
        </w:rPr>
        <w:t>：近</w:t>
      </w:r>
      <w:r>
        <w:rPr>
          <w:rFonts w:hint="eastAsia"/>
        </w:rPr>
        <w:t>4</w:t>
      </w:r>
      <w:r>
        <w:rPr>
          <w:rFonts w:hint="eastAsia"/>
        </w:rPr>
        <w:t>个季度</w:t>
      </w:r>
      <w:r>
        <w:rPr>
          <w:rFonts w:hint="eastAsia"/>
        </w:rPr>
        <w:t>Take Rate</w:t>
      </w:r>
    </w:p>
    <w:p w14:paraId="08BB1E85" w14:textId="5492EC8F" w:rsidR="00D06E9D" w:rsidRDefault="003F606C" w:rsidP="003C0BA4">
      <w:r w:rsidRPr="003F606C">
        <w:rPr>
          <w:noProof/>
        </w:rPr>
        <w:drawing>
          <wp:inline distT="0" distB="0" distL="0" distR="0" wp14:anchorId="2389FE2C" wp14:editId="46403508">
            <wp:extent cx="6645910" cy="1400810"/>
            <wp:effectExtent l="0" t="0" r="0" b="0"/>
            <wp:docPr id="2121194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94551" name=""/>
                    <pic:cNvPicPr/>
                  </pic:nvPicPr>
                  <pic:blipFill>
                    <a:blip r:embed="rId39"/>
                    <a:stretch>
                      <a:fillRect/>
                    </a:stretch>
                  </pic:blipFill>
                  <pic:spPr>
                    <a:xfrm>
                      <a:off x="0" y="0"/>
                      <a:ext cx="6645910" cy="1400810"/>
                    </a:xfrm>
                    <a:prstGeom prst="rect">
                      <a:avLst/>
                    </a:prstGeom>
                  </pic:spPr>
                </pic:pic>
              </a:graphicData>
            </a:graphic>
          </wp:inline>
        </w:drawing>
      </w:r>
    </w:p>
    <w:p w14:paraId="2B6225A6" w14:textId="0D272766" w:rsidR="004D3109" w:rsidRDefault="007D6568" w:rsidP="003C0BA4">
      <w:r w:rsidRPr="007D6568">
        <w:t>近四季度全球 take rate 在 12.55%—12.80%之间波动，整体没有明显趋势变化。美国、IOM 和 IDL 的分部 take rate 也保持在各自长期区间内。</w:t>
      </w:r>
    </w:p>
    <w:p w14:paraId="31783F7A" w14:textId="77777777" w:rsidR="004D3109" w:rsidRDefault="004D3109" w:rsidP="003C0BA4"/>
    <w:p w14:paraId="3218D60D" w14:textId="4132DB16" w:rsidR="004D3109" w:rsidRDefault="00E46184" w:rsidP="00E46184">
      <w:pPr>
        <w:pStyle w:val="3"/>
      </w:pPr>
      <w:r>
        <w:rPr>
          <w:rFonts w:hint="eastAsia"/>
        </w:rPr>
        <w:t>利润</w:t>
      </w:r>
    </w:p>
    <w:p w14:paraId="776546B0" w14:textId="0B3E21F8" w:rsidR="004D3109" w:rsidRPr="00661540" w:rsidRDefault="00661540">
      <w:pPr>
        <w:pStyle w:val="a9"/>
        <w:numPr>
          <w:ilvl w:val="0"/>
          <w:numId w:val="12"/>
        </w:numPr>
        <w:rPr>
          <w:b/>
          <w:bCs/>
        </w:rPr>
      </w:pPr>
      <w:r w:rsidRPr="00661540">
        <w:rPr>
          <w:rFonts w:hint="eastAsia"/>
          <w:b/>
          <w:bCs/>
        </w:rPr>
        <w:t>结论</w:t>
      </w:r>
    </w:p>
    <w:p w14:paraId="24428B2C" w14:textId="77777777" w:rsidR="00BF09F8" w:rsidRDefault="00BF09F8" w:rsidP="00BF09F8">
      <w:r>
        <w:lastRenderedPageBreak/>
        <w:t>麦当劳的利润结构比收入结构更加依赖特许经营。特许经营收入虽然只按加盟商销售额的一定比例确认，但其主要成本是餐厅占用成本，新增销售额可以较高比例转化为特许经营利润；直营餐厅则需要承担食材、人工、租金和其他经营成本，利润率明显低于特许经营。因此，随着直营餐厅持续转为加盟餐厅，特许经营利润占餐厅利润的比例不断提高，成为营业利润的主要来源。</w:t>
      </w:r>
    </w:p>
    <w:p w14:paraId="0D539285" w14:textId="27E1E55C" w:rsidR="004D3109" w:rsidRDefault="00BF09F8" w:rsidP="00BF09F8">
      <w:r>
        <w:t>长期看，特许经营利润率在疫情后逐步恢复并提升，直营餐厅利润率则低于历史高点，尤其美国直营餐厅受到人工、食品和其他经营成本上涨的影响。公司层面的 SG&amp;A 相对于体系销售额总体保持稳定，说明加盟化和规模扩张形成了一定经营杠杆。近期季度中，特许经营利润仍保持韧性，直营利润率有所波动，利润增长暂未出现明显的结构性恶化；需要重点观察的是可比销售放缓是否进一步影响加盟商销售，以及通胀和人工成本是否继续压缩直营餐厅利润。</w:t>
      </w:r>
    </w:p>
    <w:p w14:paraId="64BB0345" w14:textId="1698848A" w:rsidR="004D3109" w:rsidRDefault="004D3109" w:rsidP="003C0BA4"/>
    <w:p w14:paraId="60DBD9BC" w14:textId="7DFEB9E5" w:rsidR="002816FA" w:rsidRDefault="002816FA" w:rsidP="002816FA">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25</w:t>
      </w:r>
      <w:r w:rsidR="00CC796E">
        <w:fldChar w:fldCharType="end"/>
      </w:r>
      <w:r>
        <w:rPr>
          <w:rFonts w:hint="eastAsia"/>
        </w:rPr>
        <w:t>：利润结构（百万美元）</w:t>
      </w:r>
    </w:p>
    <w:p w14:paraId="412E0D31" w14:textId="13873CAB" w:rsidR="00F8276B" w:rsidRPr="00EB6F45" w:rsidRDefault="00EC5B75" w:rsidP="003C0BA4">
      <w:r w:rsidRPr="00EC5B75">
        <w:rPr>
          <w:noProof/>
        </w:rPr>
        <w:drawing>
          <wp:inline distT="0" distB="0" distL="0" distR="0" wp14:anchorId="321AB8F0" wp14:editId="61E53658">
            <wp:extent cx="6645910" cy="2679065"/>
            <wp:effectExtent l="0" t="0" r="0" b="635"/>
            <wp:docPr id="501512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12553" name=""/>
                    <pic:cNvPicPr/>
                  </pic:nvPicPr>
                  <pic:blipFill>
                    <a:blip r:embed="rId40"/>
                    <a:stretch>
                      <a:fillRect/>
                    </a:stretch>
                  </pic:blipFill>
                  <pic:spPr>
                    <a:xfrm>
                      <a:off x="0" y="0"/>
                      <a:ext cx="6645910" cy="2679065"/>
                    </a:xfrm>
                    <a:prstGeom prst="rect">
                      <a:avLst/>
                    </a:prstGeom>
                  </pic:spPr>
                </pic:pic>
              </a:graphicData>
            </a:graphic>
          </wp:inline>
        </w:drawing>
      </w:r>
    </w:p>
    <w:p w14:paraId="71F91E45" w14:textId="367EFCDD" w:rsidR="00EB6F45" w:rsidRPr="00AC3C0A" w:rsidRDefault="00AC3C0A" w:rsidP="00AC3C0A">
      <w:r w:rsidRPr="00AC3C0A">
        <w:rPr>
          <w:b/>
          <w:bCs/>
        </w:rPr>
        <w:t>特许经营利润是最主要的利润来源</w:t>
      </w:r>
      <w:r w:rsidRPr="00AC3C0A">
        <w:rPr>
          <w:rFonts w:hint="eastAsia"/>
          <w:b/>
          <w:bCs/>
        </w:rPr>
        <w:t>。</w:t>
      </w:r>
      <w:r>
        <w:t>FY2017—FY2025，特许经营利润由约 83 亿美元增至 139 亿美元，特许经营利润率由约 82%提升至约 84%。同期特许经营利润占餐厅利润的比例由约 78%提升至约 91%。这说明麦当劳的利润增长并不主要依赖直营餐厅销售额，而是依赖加盟体系销售额通过租金和 royalty 转化为特许经营利润。由于特许经营模式不承担加盟商餐厅的食材、人工等日常经营成本，新增加盟商销售额的边际利润贡献较高。</w:t>
      </w:r>
    </w:p>
    <w:p w14:paraId="462D91E3" w14:textId="55B9726E" w:rsidR="00915442" w:rsidRPr="00DF24C1" w:rsidRDefault="00E13C1C" w:rsidP="00DF24C1">
      <w:r w:rsidRPr="00E13C1C">
        <w:rPr>
          <w:b/>
          <w:bCs/>
        </w:rPr>
        <w:t>直营餐厅利润率长期低于特许经营利润率</w:t>
      </w:r>
      <w:r w:rsidRPr="00E13C1C">
        <w:rPr>
          <w:rFonts w:hint="eastAsia"/>
          <w:b/>
          <w:bCs/>
        </w:rPr>
        <w:t>。</w:t>
      </w:r>
      <w:r w:rsidR="00DF24C1" w:rsidRPr="00DF24C1">
        <w:t>直营餐厅利润率长期处于约 14%—18%，显著低于特许经营利润率。直营餐厅需要承担食品、人工、租金和其他经营成本，因此利润率更容易受到通胀和客流变化影响。</w:t>
      </w:r>
    </w:p>
    <w:p w14:paraId="5CD5C1C8" w14:textId="6B0C5972" w:rsidR="00915442" w:rsidRPr="00DF24C1" w:rsidRDefault="00915442"/>
    <w:p w14:paraId="31C1CEA9" w14:textId="70064931" w:rsidR="00A24C51" w:rsidRDefault="00A24C51" w:rsidP="00A24C51">
      <w:pPr>
        <w:pStyle w:val="ae"/>
        <w:keepNext/>
      </w:pPr>
      <w:r>
        <w:lastRenderedPageBreak/>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26</w:t>
      </w:r>
      <w:r w:rsidR="00CC796E">
        <w:fldChar w:fldCharType="end"/>
      </w:r>
      <w:r>
        <w:rPr>
          <w:rFonts w:hint="eastAsia"/>
        </w:rPr>
        <w:t>：分部门利润结构</w:t>
      </w:r>
    </w:p>
    <w:p w14:paraId="5CE2A2C7" w14:textId="6DEAC6C3" w:rsidR="00915442" w:rsidRDefault="00075721">
      <w:r w:rsidRPr="0026212B">
        <w:rPr>
          <w:noProof/>
        </w:rPr>
        <w:drawing>
          <wp:inline distT="0" distB="0" distL="0" distR="0" wp14:anchorId="18A58593" wp14:editId="09473B09">
            <wp:extent cx="6645910" cy="2099945"/>
            <wp:effectExtent l="0" t="0" r="0" b="0"/>
            <wp:docPr id="2123329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29460" name=""/>
                    <pic:cNvPicPr/>
                  </pic:nvPicPr>
                  <pic:blipFill>
                    <a:blip r:embed="rId41"/>
                    <a:stretch>
                      <a:fillRect/>
                    </a:stretch>
                  </pic:blipFill>
                  <pic:spPr>
                    <a:xfrm>
                      <a:off x="0" y="0"/>
                      <a:ext cx="6645910" cy="2099945"/>
                    </a:xfrm>
                    <a:prstGeom prst="rect">
                      <a:avLst/>
                    </a:prstGeom>
                  </pic:spPr>
                </pic:pic>
              </a:graphicData>
            </a:graphic>
          </wp:inline>
        </w:drawing>
      </w:r>
    </w:p>
    <w:p w14:paraId="6C049F43" w14:textId="1346A93D" w:rsidR="00915442" w:rsidRPr="005526BC" w:rsidRDefault="002D34AE" w:rsidP="00C57FCC">
      <w:r w:rsidRPr="002D34AE">
        <w:rPr>
          <w:rFonts w:hint="eastAsia"/>
          <w:b/>
          <w:bCs/>
        </w:rPr>
        <w:t>美国</w:t>
      </w:r>
      <w:r w:rsidR="00546C03" w:rsidRPr="00546C03">
        <w:rPr>
          <w:rFonts w:hint="eastAsia"/>
        </w:rPr>
        <w:t>：</w:t>
      </w:r>
      <w:r w:rsidR="00C57FCC" w:rsidRPr="00C57FCC">
        <w:t>特许经营业务持续扩大并保持稳定高利润率，直营业务规模和利润率逐步下降，前者抵消了后者的压力</w:t>
      </w:r>
      <w:r w:rsidR="00C57FCC">
        <w:t>。</w:t>
      </w:r>
      <w:r w:rsidR="005146DB">
        <w:rPr>
          <w:rFonts w:hint="eastAsia"/>
        </w:rPr>
        <w:t>直</w:t>
      </w:r>
      <w:r w:rsidR="00D264DA" w:rsidRPr="00D264DA">
        <w:t>营利润由 FY2017 的 5.2 亿美元降至 FY2025 的 3.6 亿美元，直营利润率由 16.0%降至 11.6%。</w:t>
      </w:r>
      <w:r w:rsidR="00C57FCC">
        <w:t>公司披露，美国直营业务持续受到食品、人工和其他经营成本上涨影响，近期还受到可比客流偏弱的影响。</w:t>
      </w:r>
    </w:p>
    <w:p w14:paraId="3805DEFC" w14:textId="35FC67DA" w:rsidR="00915442" w:rsidRPr="00AB6383" w:rsidRDefault="00AB6383">
      <w:r w:rsidRPr="00AB6383">
        <w:rPr>
          <w:rFonts w:hint="eastAsia"/>
          <w:b/>
          <w:bCs/>
        </w:rPr>
        <w:t>IOM</w:t>
      </w:r>
      <w:r>
        <w:rPr>
          <w:rFonts w:hint="eastAsia"/>
        </w:rPr>
        <w:t>：</w:t>
      </w:r>
      <w:r w:rsidR="00E31405" w:rsidRPr="00E31405">
        <w:t>特许经营利润增长较快，受销售增长、汇率和网络扩张共同推动</w:t>
      </w:r>
      <w:r w:rsidR="00E31405">
        <w:rPr>
          <w:rFonts w:hint="eastAsia"/>
        </w:rPr>
        <w:t>；直营利润率高于美国，但仍未恢复到疫情前水平；今年IOM特许经营利润已接近美国，成为公司最重要的利润来源之一。</w:t>
      </w:r>
      <w:r w:rsidR="00D17C0C" w:rsidRPr="00D17C0C">
        <w:t>FY2025，IOM 披露的总餐厅利润为 69.9 亿美元，高于美国的 64.4 亿美元。IOM 已经不是单纯的销售增长区域，而是利润贡献最大的报告分部之一。</w:t>
      </w:r>
    </w:p>
    <w:p w14:paraId="57580812" w14:textId="78E8B8C9" w:rsidR="008977F9" w:rsidRDefault="00621652" w:rsidP="00694147">
      <w:r w:rsidRPr="00621652">
        <w:rPr>
          <w:rFonts w:hint="eastAsia"/>
          <w:b/>
          <w:bCs/>
        </w:rPr>
        <w:t>IDL</w:t>
      </w:r>
      <w:r>
        <w:rPr>
          <w:rFonts w:hint="eastAsia"/>
        </w:rPr>
        <w:t>：</w:t>
      </w:r>
      <w:r w:rsidR="004F0F8B" w:rsidRPr="004F0F8B">
        <w:t>take rate 较低，但特许经营利润率最高、资本投入最轻。</w:t>
      </w:r>
      <w:r w:rsidR="00F02F7F" w:rsidRPr="00F02F7F">
        <w:t>特许经营利润率长期维持在 95%以上，FY2025 接近 100%。</w:t>
      </w:r>
      <w:r w:rsidR="00FF06EB" w:rsidRPr="00FF06EB">
        <w:t>IDL 的收入主要来自 royalty，通常没有传统特许经营模式下同等规模的租金和直营餐厅成本，因此已确认特许经营收入的大部分可以转化为餐厅利润。</w:t>
      </w:r>
      <w:r w:rsidR="00CC0D27" w:rsidRPr="00CC0D27">
        <w:t>这也是为什么 IDL 扩大网络能够带来利润增量，但其销售额向麦当劳收入的转化率低于美国和 IOM。</w:t>
      </w:r>
    </w:p>
    <w:p w14:paraId="677F90BA" w14:textId="77777777" w:rsidR="00694147" w:rsidRDefault="00694147" w:rsidP="00694147"/>
    <w:p w14:paraId="673A9006" w14:textId="27D08AAE" w:rsidR="008977F9" w:rsidRDefault="008977F9" w:rsidP="008977F9">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27</w:t>
      </w:r>
      <w:r w:rsidR="00CC796E">
        <w:fldChar w:fldCharType="end"/>
      </w:r>
      <w:r>
        <w:rPr>
          <w:rFonts w:hint="eastAsia"/>
        </w:rPr>
        <w:t>：近</w:t>
      </w:r>
      <w:r>
        <w:rPr>
          <w:rFonts w:hint="eastAsia"/>
        </w:rPr>
        <w:t>4</w:t>
      </w:r>
      <w:r>
        <w:rPr>
          <w:rFonts w:hint="eastAsia"/>
        </w:rPr>
        <w:t>个季度分部利润</w:t>
      </w:r>
      <w:r w:rsidR="00266D4B">
        <w:rPr>
          <w:rFonts w:hint="eastAsia"/>
        </w:rPr>
        <w:t>（百万美元）</w:t>
      </w:r>
    </w:p>
    <w:p w14:paraId="64D908CF" w14:textId="06070BB0" w:rsidR="00915442" w:rsidRDefault="008977F9" w:rsidP="008977F9">
      <w:pPr>
        <w:tabs>
          <w:tab w:val="left" w:pos="627"/>
        </w:tabs>
      </w:pPr>
      <w:r w:rsidRPr="008977F9">
        <w:rPr>
          <w:noProof/>
        </w:rPr>
        <w:drawing>
          <wp:inline distT="0" distB="0" distL="0" distR="0" wp14:anchorId="167857B8" wp14:editId="403A7EB3">
            <wp:extent cx="6645910" cy="1374140"/>
            <wp:effectExtent l="0" t="0" r="0" b="0"/>
            <wp:docPr id="1172305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05517" name=""/>
                    <pic:cNvPicPr/>
                  </pic:nvPicPr>
                  <pic:blipFill>
                    <a:blip r:embed="rId42"/>
                    <a:stretch>
                      <a:fillRect/>
                    </a:stretch>
                  </pic:blipFill>
                  <pic:spPr>
                    <a:xfrm>
                      <a:off x="0" y="0"/>
                      <a:ext cx="6645910" cy="1374140"/>
                    </a:xfrm>
                    <a:prstGeom prst="rect">
                      <a:avLst/>
                    </a:prstGeom>
                  </pic:spPr>
                </pic:pic>
              </a:graphicData>
            </a:graphic>
          </wp:inline>
        </w:drawing>
      </w:r>
    </w:p>
    <w:p w14:paraId="3E5D27D4" w14:textId="77777777" w:rsidR="0031578A" w:rsidRDefault="0031578A" w:rsidP="0031578A">
      <w:r>
        <w:t>近期数据体现出三个特征：</w:t>
      </w:r>
    </w:p>
    <w:p w14:paraId="16CDBB79" w14:textId="5ABD534A" w:rsidR="0031578A" w:rsidRDefault="0031578A">
      <w:pPr>
        <w:pStyle w:val="a9"/>
        <w:numPr>
          <w:ilvl w:val="0"/>
          <w:numId w:val="23"/>
        </w:numPr>
      </w:pPr>
      <w:r>
        <w:t>美国和 IOM 特许经营利润率都保持在 80%以上，加盟业务仍然稳健；</w:t>
      </w:r>
    </w:p>
    <w:p w14:paraId="6D9DC10F" w14:textId="0218F078" w:rsidR="0031578A" w:rsidRDefault="0031578A">
      <w:pPr>
        <w:pStyle w:val="a9"/>
        <w:numPr>
          <w:ilvl w:val="0"/>
          <w:numId w:val="23"/>
        </w:numPr>
      </w:pPr>
      <w:r>
        <w:t>IDL 特许经营利润率继续接近 100%，但绝对利润规模仍小于美国和 IOM；</w:t>
      </w:r>
    </w:p>
    <w:p w14:paraId="5EC0B84B" w14:textId="7134F639" w:rsidR="00915442" w:rsidRDefault="0031578A">
      <w:pPr>
        <w:pStyle w:val="a9"/>
        <w:numPr>
          <w:ilvl w:val="0"/>
          <w:numId w:val="23"/>
        </w:numPr>
      </w:pPr>
      <w:r>
        <w:t>美国直营利润率明显低于 IOM，FY2026 Q1 一度降至 8.1%，说明美国直营业务仍是成本压力最集中的环节。</w:t>
      </w:r>
    </w:p>
    <w:p w14:paraId="7F2E84F3" w14:textId="77777777" w:rsidR="00915442" w:rsidRPr="003532F8" w:rsidRDefault="00915442"/>
    <w:p w14:paraId="0A008ADD" w14:textId="51DBF87B" w:rsidR="003532F8" w:rsidRPr="003532F8" w:rsidRDefault="003532F8">
      <w:pPr>
        <w:pStyle w:val="a9"/>
        <w:numPr>
          <w:ilvl w:val="0"/>
          <w:numId w:val="19"/>
        </w:numPr>
        <w:rPr>
          <w:b/>
          <w:bCs/>
        </w:rPr>
      </w:pPr>
      <w:r w:rsidRPr="003532F8">
        <w:rPr>
          <w:b/>
          <w:bCs/>
        </w:rPr>
        <w:t>美国直营餐厅利润率下降</w:t>
      </w:r>
    </w:p>
    <w:p w14:paraId="5E2E34A3" w14:textId="0F383A8D" w:rsidR="00915442" w:rsidRDefault="00A96EFC">
      <w:r w:rsidRPr="00A96EFC">
        <w:rPr>
          <w:noProof/>
        </w:rPr>
        <w:lastRenderedPageBreak/>
        <w:drawing>
          <wp:inline distT="0" distB="0" distL="0" distR="0" wp14:anchorId="7B2AEBDD" wp14:editId="551183A4">
            <wp:extent cx="5078994" cy="2700126"/>
            <wp:effectExtent l="0" t="0" r="1270" b="5080"/>
            <wp:docPr id="1674366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66326" name=""/>
                    <pic:cNvPicPr/>
                  </pic:nvPicPr>
                  <pic:blipFill>
                    <a:blip r:embed="rId43"/>
                    <a:stretch>
                      <a:fillRect/>
                    </a:stretch>
                  </pic:blipFill>
                  <pic:spPr>
                    <a:xfrm>
                      <a:off x="0" y="0"/>
                      <a:ext cx="5117168" cy="2720420"/>
                    </a:xfrm>
                    <a:prstGeom prst="rect">
                      <a:avLst/>
                    </a:prstGeom>
                  </pic:spPr>
                </pic:pic>
              </a:graphicData>
            </a:graphic>
          </wp:inline>
        </w:drawing>
      </w:r>
    </w:p>
    <w:p w14:paraId="299B0E8D" w14:textId="763EC7A2" w:rsidR="005F0945" w:rsidRDefault="00D07156">
      <w:r w:rsidRPr="00D07156">
        <w:t>FY2021 的异常高点之后，美国直营餐厅利润率持续低于疫情前水平，并在 FY2024—FY2025 进一步下探。</w:t>
      </w:r>
      <w:r w:rsidR="00A41288" w:rsidRPr="00A41288">
        <w:t>FY2021 的 19.5%包含疫情期间销售结构、成本和经营环境的特殊影响，不能作为正常基准。与 FY2018—FY2019 约 15%的水平相比，FY2025 的 11.6%仍低约 3—4个百分点</w:t>
      </w:r>
      <w:r w:rsidR="00A41288">
        <w:rPr>
          <w:rFonts w:hint="eastAsia"/>
        </w:rPr>
        <w:t>。</w:t>
      </w:r>
    </w:p>
    <w:p w14:paraId="17AF0522" w14:textId="70A387EA" w:rsidR="005F0945" w:rsidRDefault="00717C5D" w:rsidP="00227756">
      <w:pPr>
        <w:jc w:val="center"/>
      </w:pPr>
      <w:r w:rsidRPr="00717C5D">
        <w:t>美国直营餐厅利润率</w:t>
      </w:r>
      <w:r>
        <w:rPr>
          <w:rFonts w:hint="eastAsia"/>
        </w:rPr>
        <w:t xml:space="preserve"> = （直营销售额 </w:t>
      </w:r>
      <w:r>
        <w:t>–</w:t>
      </w:r>
      <w:r>
        <w:rPr>
          <w:rFonts w:hint="eastAsia"/>
        </w:rPr>
        <w:t xml:space="preserve"> 食材成本 </w:t>
      </w:r>
      <w:r>
        <w:t>–</w:t>
      </w:r>
      <w:r>
        <w:rPr>
          <w:rFonts w:hint="eastAsia"/>
        </w:rPr>
        <w:t xml:space="preserve"> 人工成本 </w:t>
      </w:r>
      <w:r>
        <w:t>–</w:t>
      </w:r>
      <w:r>
        <w:rPr>
          <w:rFonts w:hint="eastAsia"/>
        </w:rPr>
        <w:t xml:space="preserve"> 租金及其他费用）/ 直营销售额</w:t>
      </w:r>
    </w:p>
    <w:p w14:paraId="17640074" w14:textId="77777777" w:rsidR="007E2103" w:rsidRDefault="007E2103" w:rsidP="007E2103">
      <w:r>
        <w:t>近期利润率下行通常意味着以下因素至少有一部分在恶化：</w:t>
      </w:r>
    </w:p>
    <w:p w14:paraId="7272237A" w14:textId="4E876308" w:rsidR="007E2103" w:rsidRDefault="007E2103">
      <w:pPr>
        <w:pStyle w:val="a9"/>
        <w:numPr>
          <w:ilvl w:val="1"/>
          <w:numId w:val="24"/>
        </w:numPr>
      </w:pPr>
      <w:r>
        <w:t>客流不足导致销售规模承压；</w:t>
      </w:r>
    </w:p>
    <w:p w14:paraId="1FC7E826" w14:textId="5E2D1502" w:rsidR="007E2103" w:rsidRDefault="007E2103">
      <w:pPr>
        <w:pStyle w:val="a9"/>
        <w:numPr>
          <w:ilvl w:val="1"/>
          <w:numId w:val="24"/>
        </w:numPr>
      </w:pPr>
      <w:r>
        <w:t>食品、人工和租赁成本上涨；</w:t>
      </w:r>
    </w:p>
    <w:p w14:paraId="5321B1C6" w14:textId="6D8EAD2A" w:rsidR="007E2103" w:rsidRDefault="007E2103">
      <w:pPr>
        <w:pStyle w:val="a9"/>
        <w:numPr>
          <w:ilvl w:val="1"/>
          <w:numId w:val="24"/>
        </w:numPr>
      </w:pPr>
      <w:r>
        <w:t>促销和价值策略压低单店收入质量；</w:t>
      </w:r>
    </w:p>
    <w:p w14:paraId="4EADED11" w14:textId="193F922D" w:rsidR="007E2103" w:rsidRDefault="007E2103">
      <w:pPr>
        <w:pStyle w:val="a9"/>
        <w:numPr>
          <w:ilvl w:val="1"/>
          <w:numId w:val="24"/>
        </w:numPr>
      </w:pPr>
      <w:r>
        <w:t>产品组合变化不利于利润；</w:t>
      </w:r>
    </w:p>
    <w:p w14:paraId="21E67FE7" w14:textId="31E803EA" w:rsidR="005F0945" w:rsidRDefault="007E2103">
      <w:pPr>
        <w:pStyle w:val="a9"/>
        <w:numPr>
          <w:ilvl w:val="1"/>
          <w:numId w:val="24"/>
        </w:numPr>
      </w:pPr>
      <w:r>
        <w:t>直营餐厅所在区域或门店组合相对较弱。</w:t>
      </w:r>
    </w:p>
    <w:p w14:paraId="0C96324A" w14:textId="0B45A475" w:rsidR="005F0945" w:rsidRDefault="00AB3A5E">
      <w:r w:rsidRPr="00AB3A5E">
        <w:t>公司在近期 10-Q 中明确提到，美国直营餐厅利润受到持续通胀性成本压力影响；FY2026 Q2 美国可比销售虽然增长，但主要由客单和产品组合推动，客流仍为负。</w:t>
      </w:r>
    </w:p>
    <w:p w14:paraId="4CF43C18" w14:textId="77777777" w:rsidR="00790B8C" w:rsidRPr="00790B8C" w:rsidRDefault="00790B8C" w:rsidP="00790B8C">
      <w:pPr>
        <w:rPr>
          <w:b/>
          <w:bCs/>
        </w:rPr>
      </w:pPr>
      <w:r w:rsidRPr="00790B8C">
        <w:rPr>
          <w:b/>
          <w:bCs/>
        </w:rPr>
        <w:t>美国门店层面的经营压力确实在上升，尤其体现为成本上涨和客流不足对利润率的挤压。</w:t>
      </w:r>
    </w:p>
    <w:p w14:paraId="0D39231B" w14:textId="77777777" w:rsidR="005F0945" w:rsidRDefault="005F0945"/>
    <w:p w14:paraId="1C120AFC" w14:textId="10355309" w:rsidR="005F0945" w:rsidRDefault="008B06FD" w:rsidP="004E6E25">
      <w:pPr>
        <w:pStyle w:val="3"/>
      </w:pPr>
      <w:r>
        <w:rPr>
          <w:rFonts w:hint="eastAsia"/>
        </w:rPr>
        <w:t>成本</w:t>
      </w:r>
      <w:r w:rsidR="004E6E25">
        <w:rPr>
          <w:rFonts w:hint="eastAsia"/>
        </w:rPr>
        <w:t>费用</w:t>
      </w:r>
    </w:p>
    <w:p w14:paraId="4DBAF447" w14:textId="77777777" w:rsidR="005F0945" w:rsidRDefault="005F0945"/>
    <w:p w14:paraId="443A09DD" w14:textId="01993017" w:rsidR="00234A7F" w:rsidRDefault="00ED74FE">
      <w:r w:rsidRPr="00ED74FE">
        <w:rPr>
          <w:noProof/>
        </w:rPr>
        <w:lastRenderedPageBreak/>
        <w:drawing>
          <wp:inline distT="0" distB="0" distL="0" distR="0" wp14:anchorId="6F4885C5" wp14:editId="2CF861C6">
            <wp:extent cx="3195873" cy="2946751"/>
            <wp:effectExtent l="0" t="0" r="5080" b="0"/>
            <wp:docPr id="1832049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49711" name=""/>
                    <pic:cNvPicPr/>
                  </pic:nvPicPr>
                  <pic:blipFill>
                    <a:blip r:embed="rId44"/>
                    <a:stretch>
                      <a:fillRect/>
                    </a:stretch>
                  </pic:blipFill>
                  <pic:spPr>
                    <a:xfrm>
                      <a:off x="0" y="0"/>
                      <a:ext cx="3216552" cy="2965818"/>
                    </a:xfrm>
                    <a:prstGeom prst="rect">
                      <a:avLst/>
                    </a:prstGeom>
                  </pic:spPr>
                </pic:pic>
              </a:graphicData>
            </a:graphic>
          </wp:inline>
        </w:drawing>
      </w:r>
    </w:p>
    <w:p w14:paraId="0A61795F" w14:textId="3890E508" w:rsidR="008B06FD" w:rsidRDefault="008B06FD" w:rsidP="008B06FD">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28</w:t>
      </w:r>
      <w:r w:rsidR="00CC796E">
        <w:fldChar w:fldCharType="end"/>
      </w:r>
      <w:r>
        <w:rPr>
          <w:rFonts w:hint="eastAsia"/>
        </w:rPr>
        <w:t>：各成本费用率</w:t>
      </w:r>
    </w:p>
    <w:p w14:paraId="004A3207" w14:textId="3FBDD074" w:rsidR="00234A7F" w:rsidRDefault="003101C6">
      <w:r w:rsidRPr="003101C6">
        <w:rPr>
          <w:noProof/>
        </w:rPr>
        <w:drawing>
          <wp:inline distT="0" distB="0" distL="0" distR="0" wp14:anchorId="6FF2D69E" wp14:editId="57423D2A">
            <wp:extent cx="6645910" cy="2588895"/>
            <wp:effectExtent l="0" t="0" r="0" b="1905"/>
            <wp:docPr id="802939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39264" name=""/>
                    <pic:cNvPicPr/>
                  </pic:nvPicPr>
                  <pic:blipFill>
                    <a:blip r:embed="rId45"/>
                    <a:stretch>
                      <a:fillRect/>
                    </a:stretch>
                  </pic:blipFill>
                  <pic:spPr>
                    <a:xfrm>
                      <a:off x="0" y="0"/>
                      <a:ext cx="6645910" cy="2588895"/>
                    </a:xfrm>
                    <a:prstGeom prst="rect">
                      <a:avLst/>
                    </a:prstGeom>
                  </pic:spPr>
                </pic:pic>
              </a:graphicData>
            </a:graphic>
          </wp:inline>
        </w:drawing>
      </w:r>
    </w:p>
    <w:p w14:paraId="4A6C7FD5" w14:textId="059DFAC7" w:rsidR="00234A7F" w:rsidRPr="00CD06FB" w:rsidRDefault="00CD06FB">
      <w:r w:rsidRPr="00CD06FB">
        <w:rPr>
          <w:b/>
          <w:bCs/>
        </w:rPr>
        <w:t>特许经营利润率提升主要来自占用成本率下降</w:t>
      </w:r>
      <w:r>
        <w:rPr>
          <w:rFonts w:hint="eastAsia"/>
          <w:b/>
          <w:bCs/>
        </w:rPr>
        <w:t>。</w:t>
      </w:r>
      <w:r w:rsidR="00274364" w:rsidRPr="00274364">
        <w:t>特许经营收入增长快于相应物业占用成本，麦当劳从加盟网络销售额中获得的收入具有较强经营杠杆。特许经营利润率的提升不是 take rate 大幅提高，而是收入增长和物业成本摊薄共同作用的结果。</w:t>
      </w:r>
    </w:p>
    <w:p w14:paraId="378C3E43" w14:textId="77777777" w:rsidR="003D6EC1" w:rsidRDefault="00E47B98" w:rsidP="003D6EC1">
      <w:r w:rsidRPr="00E47B98">
        <w:rPr>
          <w:rFonts w:hint="eastAsia"/>
          <w:b/>
          <w:bCs/>
        </w:rPr>
        <w:t>直营成本压力主要来自人工和占用成本。</w:t>
      </w:r>
      <w:r w:rsidR="002522FC" w:rsidRPr="002522FC">
        <w:t>FY2018 至 FY2025，直营成本率由 82.6%升至 85.3%，直营利润率相应由 17.4%降至 14.7%。</w:t>
      </w:r>
      <w:r w:rsidR="003D6EC1">
        <w:t>其中：</w:t>
      </w:r>
    </w:p>
    <w:p w14:paraId="1A3D5799" w14:textId="067D1B60" w:rsidR="003D6EC1" w:rsidRDefault="003D6EC1">
      <w:pPr>
        <w:pStyle w:val="a9"/>
        <w:numPr>
          <w:ilvl w:val="1"/>
          <w:numId w:val="25"/>
        </w:numPr>
      </w:pPr>
      <w:r>
        <w:t>食品及包装成本率由 31.5%降至 31.0%，并不是主要恶化来源；</w:t>
      </w:r>
    </w:p>
    <w:p w14:paraId="3E565875" w14:textId="3C3E9FC5" w:rsidR="003D6EC1" w:rsidRDefault="003D6EC1">
      <w:pPr>
        <w:pStyle w:val="a9"/>
        <w:numPr>
          <w:ilvl w:val="1"/>
          <w:numId w:val="25"/>
        </w:numPr>
      </w:pPr>
      <w:r>
        <w:t>人工成本率由 29.3%升至 30.0%；</w:t>
      </w:r>
    </w:p>
    <w:p w14:paraId="118C4C1C" w14:textId="2499C08C" w:rsidR="003D6EC1" w:rsidRDefault="003D6EC1">
      <w:pPr>
        <w:pStyle w:val="a9"/>
        <w:numPr>
          <w:ilvl w:val="1"/>
          <w:numId w:val="25"/>
        </w:numPr>
      </w:pPr>
      <w:r>
        <w:t>租金及其他经营成本率由 21.7%升至 24.3%，上升最明显。</w:t>
      </w:r>
    </w:p>
    <w:p w14:paraId="69BD3BAF" w14:textId="4E508C36" w:rsidR="00234A7F" w:rsidRPr="002522FC" w:rsidRDefault="003D6EC1" w:rsidP="003D6EC1">
      <w:r>
        <w:t>因此，直营利润率下降并非主要由食品成本造成，而更多体现为人工成本和租金、维修、能源等经营成本持续上升。</w:t>
      </w:r>
    </w:p>
    <w:p w14:paraId="35D53AEC" w14:textId="77777777" w:rsidR="00BE5971" w:rsidRDefault="001707EA" w:rsidP="00BE5971">
      <w:r w:rsidRPr="001707EA">
        <w:rPr>
          <w:b/>
          <w:bCs/>
        </w:rPr>
        <w:t>SG&amp;A 看体系销售额较稳定，看总收入则显得偏高</w:t>
      </w:r>
      <w:r w:rsidRPr="001707EA">
        <w:rPr>
          <w:rFonts w:hint="eastAsia"/>
        </w:rPr>
        <w:t>。</w:t>
      </w:r>
      <w:r w:rsidR="00BE5971" w:rsidRPr="00BE5971">
        <w:t>FY2016—FY2025，SG&amp;A 由 23.8 亿美元升至 30.4 亿美元，但 SG&amp;A/体系销售额由 2.8%降至约 2.2%。同时，SG&amp;A/总收入由约 9.7%升至 11.3%。</w:t>
      </w:r>
      <w:r w:rsidR="00BE5971">
        <w:t>这两个指标并不矛盾：</w:t>
      </w:r>
    </w:p>
    <w:p w14:paraId="50424B4C" w14:textId="05B357B3" w:rsidR="00BE5971" w:rsidRDefault="00BE5971">
      <w:pPr>
        <w:pStyle w:val="a9"/>
        <w:numPr>
          <w:ilvl w:val="1"/>
          <w:numId w:val="26"/>
        </w:numPr>
      </w:pPr>
      <w:r>
        <w:lastRenderedPageBreak/>
        <w:t>总收入受到加盟化影响，分母较小；</w:t>
      </w:r>
    </w:p>
    <w:p w14:paraId="1A4F7B1A" w14:textId="4D7B07EF" w:rsidR="00BE5971" w:rsidRDefault="00BE5971">
      <w:pPr>
        <w:pStyle w:val="a9"/>
        <w:numPr>
          <w:ilvl w:val="1"/>
          <w:numId w:val="26"/>
        </w:numPr>
      </w:pPr>
      <w:r>
        <w:t>体系销售额更接近公司实际管理和服务的经营规模；</w:t>
      </w:r>
    </w:p>
    <w:p w14:paraId="76325BC6" w14:textId="64D5E655" w:rsidR="00BE5971" w:rsidRDefault="00BE5971">
      <w:pPr>
        <w:pStyle w:val="a9"/>
        <w:numPr>
          <w:ilvl w:val="1"/>
          <w:numId w:val="26"/>
        </w:numPr>
      </w:pPr>
      <w:r>
        <w:t>以体系销售额衡量，中央费用总体没有失控；</w:t>
      </w:r>
    </w:p>
    <w:p w14:paraId="04F7B824" w14:textId="55313B36" w:rsidR="00BE5971" w:rsidRDefault="00BE5971">
      <w:pPr>
        <w:pStyle w:val="a9"/>
        <w:numPr>
          <w:ilvl w:val="1"/>
          <w:numId w:val="26"/>
        </w:numPr>
      </w:pPr>
      <w:r>
        <w:t>以总收入衡量，费用率上升主要是收入确认结构变化的结果。</w:t>
      </w:r>
    </w:p>
    <w:p w14:paraId="0A532859" w14:textId="2E5FDE46" w:rsidR="00234A7F" w:rsidRDefault="00BE5971" w:rsidP="00BE5971">
      <w:r>
        <w:t>因此，SG&amp;A 当前更像是“随战略投入增加，但相对于体系规模保持稳定”，而不是单纯的费用失控。</w:t>
      </w:r>
    </w:p>
    <w:p w14:paraId="28ACC52B" w14:textId="77777777" w:rsidR="00234A7F" w:rsidRDefault="00234A7F"/>
    <w:p w14:paraId="7D1F58F2" w14:textId="473F2F8A" w:rsidR="00D53867" w:rsidRDefault="00D53867" w:rsidP="00D53867">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29</w:t>
      </w:r>
      <w:r w:rsidR="00CC796E">
        <w:fldChar w:fldCharType="end"/>
      </w:r>
      <w:r>
        <w:rPr>
          <w:rFonts w:hint="eastAsia"/>
        </w:rPr>
        <w:t>：</w:t>
      </w:r>
      <w:r>
        <w:rPr>
          <w:rFonts w:hint="eastAsia"/>
        </w:rPr>
        <w:t>FY2025</w:t>
      </w:r>
      <w:r>
        <w:rPr>
          <w:rFonts w:hint="eastAsia"/>
        </w:rPr>
        <w:t>费用桥接</w:t>
      </w:r>
      <w:r w:rsidR="00E64C3C">
        <w:rPr>
          <w:rFonts w:hint="eastAsia"/>
        </w:rPr>
        <w:t>（百万美元）</w:t>
      </w:r>
    </w:p>
    <w:p w14:paraId="5A592FC8" w14:textId="4F27E565" w:rsidR="005F0945" w:rsidRDefault="00D53867">
      <w:r w:rsidRPr="00D53867">
        <w:rPr>
          <w:noProof/>
        </w:rPr>
        <w:drawing>
          <wp:inline distT="0" distB="0" distL="0" distR="0" wp14:anchorId="489838C5" wp14:editId="6E9B6E5D">
            <wp:extent cx="5739897" cy="4267355"/>
            <wp:effectExtent l="0" t="0" r="635" b="0"/>
            <wp:docPr id="11461122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12242" name=""/>
                    <pic:cNvPicPr/>
                  </pic:nvPicPr>
                  <pic:blipFill>
                    <a:blip r:embed="rId46"/>
                    <a:stretch>
                      <a:fillRect/>
                    </a:stretch>
                  </pic:blipFill>
                  <pic:spPr>
                    <a:xfrm>
                      <a:off x="0" y="0"/>
                      <a:ext cx="5778692" cy="4296197"/>
                    </a:xfrm>
                    <a:prstGeom prst="rect">
                      <a:avLst/>
                    </a:prstGeom>
                  </pic:spPr>
                </pic:pic>
              </a:graphicData>
            </a:graphic>
          </wp:inline>
        </w:drawing>
      </w:r>
    </w:p>
    <w:p w14:paraId="30396C4A" w14:textId="2738AB3E" w:rsidR="005F0945" w:rsidRDefault="006F3ED0">
      <w:r>
        <w:rPr>
          <w:rFonts w:hint="eastAsia"/>
        </w:rPr>
        <w:t>FY2025，</w:t>
      </w:r>
      <w:r w:rsidRPr="006F3ED0">
        <w:t>特许经营利润 139.3 亿美元，直营餐厅利润仅 14.2 亿美元，中央 SG&amp;A 和其他费用决定最终有多少餐厅利润能够转化为经营利润。</w:t>
      </w:r>
    </w:p>
    <w:p w14:paraId="5435DEEF" w14:textId="77777777" w:rsidR="005F0945" w:rsidRDefault="005F0945"/>
    <w:p w14:paraId="6A68C9D5" w14:textId="0CE2AFAF" w:rsidR="00F5465F" w:rsidRDefault="00F5465F" w:rsidP="00F5465F">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30</w:t>
      </w:r>
      <w:r w:rsidR="00CC796E">
        <w:fldChar w:fldCharType="end"/>
      </w:r>
      <w:r>
        <w:rPr>
          <w:rFonts w:hint="eastAsia"/>
        </w:rPr>
        <w:t>：</w:t>
      </w:r>
      <w:r>
        <w:rPr>
          <w:rFonts w:hint="eastAsia"/>
        </w:rPr>
        <w:t>FY2025</w:t>
      </w:r>
      <w:r>
        <w:rPr>
          <w:rFonts w:hint="eastAsia"/>
        </w:rPr>
        <w:t>分部费用差异</w:t>
      </w:r>
      <w:r w:rsidR="00A63CF4">
        <w:rPr>
          <w:rFonts w:hint="eastAsia"/>
        </w:rPr>
        <w:t>（百万美元）</w:t>
      </w:r>
    </w:p>
    <w:p w14:paraId="3A135D80" w14:textId="12F30388" w:rsidR="005F0945" w:rsidRPr="00F5465F" w:rsidRDefault="00F5465F">
      <w:r w:rsidRPr="00F5465F">
        <w:rPr>
          <w:noProof/>
        </w:rPr>
        <w:drawing>
          <wp:inline distT="0" distB="0" distL="0" distR="0" wp14:anchorId="0FDB37F3" wp14:editId="3D69A12B">
            <wp:extent cx="6645910" cy="811530"/>
            <wp:effectExtent l="0" t="0" r="0" b="1270"/>
            <wp:docPr id="2069458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58781" name=""/>
                    <pic:cNvPicPr/>
                  </pic:nvPicPr>
                  <pic:blipFill>
                    <a:blip r:embed="rId47"/>
                    <a:stretch>
                      <a:fillRect/>
                    </a:stretch>
                  </pic:blipFill>
                  <pic:spPr>
                    <a:xfrm>
                      <a:off x="0" y="0"/>
                      <a:ext cx="6645910" cy="811530"/>
                    </a:xfrm>
                    <a:prstGeom prst="rect">
                      <a:avLst/>
                    </a:prstGeom>
                  </pic:spPr>
                </pic:pic>
              </a:graphicData>
            </a:graphic>
          </wp:inline>
        </w:drawing>
      </w:r>
    </w:p>
    <w:p w14:paraId="702A89B8" w14:textId="77777777" w:rsidR="00E4577A" w:rsidRDefault="00E4577A" w:rsidP="00E4577A">
      <w:r>
        <w:t>IDL/Corporate 的 SG&amp;A 包含大量 Corporate 费用，不能直接与美国、IOM 比较。</w:t>
      </w:r>
    </w:p>
    <w:p w14:paraId="2AF2489D" w14:textId="77777777" w:rsidR="00E4577A" w:rsidRDefault="00E4577A" w:rsidP="00E4577A">
      <w:r>
        <w:t>分部费用结构体现出：</w:t>
      </w:r>
    </w:p>
    <w:p w14:paraId="2BD870C0" w14:textId="4283B5B9" w:rsidR="00E4577A" w:rsidRDefault="00E4577A">
      <w:pPr>
        <w:pStyle w:val="a9"/>
        <w:numPr>
          <w:ilvl w:val="1"/>
          <w:numId w:val="27"/>
        </w:numPr>
      </w:pPr>
      <w:r>
        <w:t>美国：直营成本率最高，主要对应美国直营利润率较低；</w:t>
      </w:r>
    </w:p>
    <w:p w14:paraId="296A34B1" w14:textId="72070037" w:rsidR="00E4577A" w:rsidRDefault="00E4577A">
      <w:pPr>
        <w:pStyle w:val="a9"/>
        <w:numPr>
          <w:ilvl w:val="1"/>
          <w:numId w:val="27"/>
        </w:numPr>
      </w:pPr>
      <w:r>
        <w:lastRenderedPageBreak/>
        <w:t>IOM：直营成本率低于美国，直营利润率相对更强；</w:t>
      </w:r>
    </w:p>
    <w:p w14:paraId="7D1A9BAC" w14:textId="1C6E1E08" w:rsidR="005F0945" w:rsidRDefault="00E4577A">
      <w:pPr>
        <w:pStyle w:val="a9"/>
        <w:numPr>
          <w:ilvl w:val="1"/>
          <w:numId w:val="27"/>
        </w:numPr>
      </w:pPr>
      <w:r>
        <w:t>IDL：几乎没有特许经营占用成本，特许经营收入接近直接转化为利润，但其 SG&amp;A 中包含 Corporate 成本。</w:t>
      </w:r>
    </w:p>
    <w:p w14:paraId="3D894BF6" w14:textId="77777777" w:rsidR="005F0945" w:rsidRPr="005F0945" w:rsidRDefault="005F0945"/>
    <w:p w14:paraId="335E6DEA" w14:textId="61A213ED" w:rsidR="0040219B" w:rsidRDefault="0040219B" w:rsidP="0040219B">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31</w:t>
      </w:r>
      <w:r w:rsidR="00CC796E">
        <w:fldChar w:fldCharType="end"/>
      </w:r>
      <w:r>
        <w:rPr>
          <w:rFonts w:hint="eastAsia"/>
        </w:rPr>
        <w:t>：近</w:t>
      </w:r>
      <w:r>
        <w:rPr>
          <w:rFonts w:hint="eastAsia"/>
        </w:rPr>
        <w:t>4</w:t>
      </w:r>
      <w:r>
        <w:rPr>
          <w:rFonts w:hint="eastAsia"/>
        </w:rPr>
        <w:t>个季度费用率</w:t>
      </w:r>
    </w:p>
    <w:p w14:paraId="5ED39B75" w14:textId="76A9F7DB" w:rsidR="00915442" w:rsidRDefault="0040219B">
      <w:r w:rsidRPr="0040219B">
        <w:rPr>
          <w:noProof/>
        </w:rPr>
        <w:drawing>
          <wp:inline distT="0" distB="0" distL="0" distR="0" wp14:anchorId="71967B60" wp14:editId="31E5FED0">
            <wp:extent cx="6645910" cy="1756410"/>
            <wp:effectExtent l="0" t="0" r="0" b="0"/>
            <wp:docPr id="146543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3826" name=""/>
                    <pic:cNvPicPr/>
                  </pic:nvPicPr>
                  <pic:blipFill>
                    <a:blip r:embed="rId48"/>
                    <a:stretch>
                      <a:fillRect/>
                    </a:stretch>
                  </pic:blipFill>
                  <pic:spPr>
                    <a:xfrm>
                      <a:off x="0" y="0"/>
                      <a:ext cx="6645910" cy="1756410"/>
                    </a:xfrm>
                    <a:prstGeom prst="rect">
                      <a:avLst/>
                    </a:prstGeom>
                  </pic:spPr>
                </pic:pic>
              </a:graphicData>
            </a:graphic>
          </wp:inline>
        </w:drawing>
      </w:r>
    </w:p>
    <w:p w14:paraId="1F7C809D" w14:textId="7955F52C" w:rsidR="000227F6" w:rsidRDefault="000227F6" w:rsidP="000227F6">
      <w:r>
        <w:t>特许经营占用成本率仍处于较低水平，加盟业务的利润杠杆没有明显恶化；FY2026 Q1 直营成本率升至 87.7%，是近几个季度压力最大的阶段；FY2026 Q2 直营成本率回落至 84.7%，但仍高于疫情前水平；SG&amp;A/体系销售额维持在约 2.1%—2.4%，暂未出现持续上升趋势</w:t>
      </w:r>
      <w:r w:rsidR="005B3286">
        <w:rPr>
          <w:rFonts w:hint="eastAsia"/>
        </w:rPr>
        <w:t>。</w:t>
      </w:r>
    </w:p>
    <w:p w14:paraId="4D512B77" w14:textId="065ECA79" w:rsidR="00915442" w:rsidRDefault="000227F6" w:rsidP="000227F6">
      <w:r>
        <w:t>季度经营利润率仍会受到资产出售收益、联营公司收益、减值和重组费用影响，不能只根据餐厅利润率判断。</w:t>
      </w:r>
    </w:p>
    <w:p w14:paraId="3855A979" w14:textId="77777777" w:rsidR="00915442" w:rsidRDefault="00915442"/>
    <w:p w14:paraId="1C8B794D" w14:textId="37C7B392" w:rsidR="00103926" w:rsidRDefault="00AD4EFF" w:rsidP="00AD4EFF">
      <w:pPr>
        <w:pStyle w:val="3"/>
      </w:pPr>
      <w:r>
        <w:rPr>
          <w:rFonts w:hint="eastAsia"/>
        </w:rPr>
        <w:t>分部经营画像</w:t>
      </w:r>
    </w:p>
    <w:p w14:paraId="3757FA5A" w14:textId="12339AB5" w:rsidR="00103926" w:rsidRPr="00503EA1" w:rsidRDefault="00503EA1">
      <w:pPr>
        <w:pStyle w:val="a9"/>
        <w:numPr>
          <w:ilvl w:val="0"/>
          <w:numId w:val="12"/>
        </w:numPr>
        <w:rPr>
          <w:b/>
          <w:bCs/>
        </w:rPr>
      </w:pPr>
      <w:r w:rsidRPr="00503EA1">
        <w:rPr>
          <w:rFonts w:hint="eastAsia"/>
          <w:b/>
          <w:bCs/>
        </w:rPr>
        <w:t>结论</w:t>
      </w:r>
    </w:p>
    <w:p w14:paraId="49108D78" w14:textId="6D182940" w:rsidR="00103926" w:rsidRPr="00B13A68" w:rsidRDefault="00CE321F">
      <w:pPr>
        <w:rPr>
          <w:b/>
          <w:bCs/>
        </w:rPr>
      </w:pPr>
      <w:r w:rsidRPr="00D10A2A">
        <w:rPr>
          <w:b/>
          <w:bCs/>
        </w:rPr>
        <w:t>麦当劳三个分部承担的经营功能并不相同</w:t>
      </w:r>
      <w:r w:rsidR="00D10A2A" w:rsidRPr="00D10A2A">
        <w:rPr>
          <w:rFonts w:hint="eastAsia"/>
          <w:b/>
          <w:bCs/>
        </w:rPr>
        <w:t>：</w:t>
      </w:r>
      <w:r w:rsidR="00D10A2A" w:rsidRPr="00D10A2A">
        <w:rPr>
          <w:b/>
          <w:bCs/>
        </w:rPr>
        <w:t>美国贡献成熟利润，IOM贡献增量利润，IDL贡献门店网络和体系销售增长</w:t>
      </w:r>
      <w:r w:rsidRPr="00D10A2A">
        <w:rPr>
          <w:b/>
          <w:bCs/>
        </w:rPr>
        <w:t>。</w:t>
      </w:r>
      <w:r w:rsidRPr="00CE321F">
        <w:t>美国是成熟、高质量的利润核心，餐厅数量自2017年以来基本没有增长，但体系销售额持续增长，说明历史增长主要来自既有门店效率和客单提升；不过近年来美国客流和直营店利润率承压，未来增长弹性有限。IOM是当前最均衡的经营单元，同时具备较好的既有门店增长、餐厅扩张和利润贡献，是公司最重要的增量利润来源。IDL承担的是网络扩张和体系销售增长功能，餐厅数量和体系销售额增长最快，但由于特许经营费率较低、公司确认收入较少，体系销售增长并不能同比例转化为公司收入和经营利润。</w:t>
      </w:r>
    </w:p>
    <w:p w14:paraId="4BC97584" w14:textId="77777777" w:rsidR="00350AC0" w:rsidRDefault="00350AC0" w:rsidP="00350AC0">
      <w:r>
        <w:t>三个分部对公司的贡献路径不同：</w:t>
      </w:r>
    </w:p>
    <w:p w14:paraId="0AAE3454" w14:textId="77777777" w:rsidR="00350AC0" w:rsidRDefault="00350AC0">
      <w:pPr>
        <w:pStyle w:val="a9"/>
        <w:numPr>
          <w:ilvl w:val="1"/>
          <w:numId w:val="28"/>
        </w:numPr>
      </w:pPr>
      <w:r>
        <w:t>美国决定成熟利润能否稳定；</w:t>
      </w:r>
    </w:p>
    <w:p w14:paraId="581A3928" w14:textId="77777777" w:rsidR="00350AC0" w:rsidRDefault="00350AC0">
      <w:pPr>
        <w:pStyle w:val="a9"/>
        <w:numPr>
          <w:ilvl w:val="1"/>
          <w:numId w:val="28"/>
        </w:numPr>
      </w:pPr>
      <w:r>
        <w:t>IOM决定未来几年经营利润能否继续增长；</w:t>
      </w:r>
    </w:p>
    <w:p w14:paraId="51E6EB6B" w14:textId="1C2D57CC" w:rsidR="00103926" w:rsidRPr="003D1715" w:rsidRDefault="00350AC0">
      <w:pPr>
        <w:pStyle w:val="a9"/>
        <w:numPr>
          <w:ilvl w:val="1"/>
          <w:numId w:val="28"/>
        </w:numPr>
      </w:pPr>
      <w:r>
        <w:t>IDL决定全球门店网络和体系销售额能否扩张。</w:t>
      </w:r>
    </w:p>
    <w:p w14:paraId="4280D794" w14:textId="7B76A14C" w:rsidR="00F42BF9" w:rsidRDefault="00F42BF9" w:rsidP="00F42BF9">
      <w:pPr>
        <w:pStyle w:val="ae"/>
        <w:keepNext/>
      </w:pPr>
      <w:r>
        <w:lastRenderedPageBreak/>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32</w:t>
      </w:r>
      <w:r w:rsidR="00CC796E">
        <w:fldChar w:fldCharType="end"/>
      </w:r>
      <w:r>
        <w:rPr>
          <w:rFonts w:hint="eastAsia"/>
        </w:rPr>
        <w:t>：分部网络与体系销售</w:t>
      </w:r>
    </w:p>
    <w:p w14:paraId="7C00EC1A" w14:textId="0AF5EE3A" w:rsidR="00CE321F" w:rsidRDefault="00D6624C" w:rsidP="00CE321F">
      <w:r w:rsidRPr="00D6624C">
        <w:rPr>
          <w:noProof/>
        </w:rPr>
        <w:drawing>
          <wp:inline distT="0" distB="0" distL="0" distR="0" wp14:anchorId="17C0E08B" wp14:editId="32820121">
            <wp:extent cx="6645910" cy="1116965"/>
            <wp:effectExtent l="0" t="0" r="0" b="635"/>
            <wp:docPr id="411565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65172" name=""/>
                    <pic:cNvPicPr/>
                  </pic:nvPicPr>
                  <pic:blipFill>
                    <a:blip r:embed="rId49"/>
                    <a:stretch>
                      <a:fillRect/>
                    </a:stretch>
                  </pic:blipFill>
                  <pic:spPr>
                    <a:xfrm>
                      <a:off x="0" y="0"/>
                      <a:ext cx="6645910" cy="1116965"/>
                    </a:xfrm>
                    <a:prstGeom prst="rect">
                      <a:avLst/>
                    </a:prstGeom>
                  </pic:spPr>
                </pic:pic>
              </a:graphicData>
            </a:graphic>
          </wp:inline>
        </w:drawing>
      </w:r>
    </w:p>
    <w:p w14:paraId="4A6E97E8" w14:textId="77777777" w:rsidR="00CE321F" w:rsidRDefault="00CE321F" w:rsidP="00CE321F"/>
    <w:p w14:paraId="0BB0FBD6" w14:textId="31B943EA" w:rsidR="00B96ADA" w:rsidRDefault="00B96ADA" w:rsidP="00B96ADA">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33</w:t>
      </w:r>
      <w:r w:rsidR="00CC796E">
        <w:fldChar w:fldCharType="end"/>
      </w:r>
      <w:r>
        <w:rPr>
          <w:rFonts w:hint="eastAsia"/>
        </w:rPr>
        <w:t>：</w:t>
      </w:r>
      <w:r>
        <w:rPr>
          <w:rFonts w:hint="eastAsia"/>
        </w:rPr>
        <w:t>FY2025</w:t>
      </w:r>
      <w:r>
        <w:rPr>
          <w:rFonts w:hint="eastAsia"/>
        </w:rPr>
        <w:t>分部经营传导对比</w:t>
      </w:r>
    </w:p>
    <w:p w14:paraId="4D24204B" w14:textId="1F567335" w:rsidR="00CE321F" w:rsidRDefault="00B96ADA" w:rsidP="00CE321F">
      <w:r w:rsidRPr="00B96ADA">
        <w:rPr>
          <w:noProof/>
        </w:rPr>
        <w:drawing>
          <wp:inline distT="0" distB="0" distL="0" distR="0" wp14:anchorId="70775285" wp14:editId="6E726804">
            <wp:extent cx="6645910" cy="2194560"/>
            <wp:effectExtent l="0" t="0" r="0" b="2540"/>
            <wp:docPr id="762514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14529" name=""/>
                    <pic:cNvPicPr/>
                  </pic:nvPicPr>
                  <pic:blipFill>
                    <a:blip r:embed="rId50"/>
                    <a:stretch>
                      <a:fillRect/>
                    </a:stretch>
                  </pic:blipFill>
                  <pic:spPr>
                    <a:xfrm>
                      <a:off x="0" y="0"/>
                      <a:ext cx="6645910" cy="2194560"/>
                    </a:xfrm>
                    <a:prstGeom prst="rect">
                      <a:avLst/>
                    </a:prstGeom>
                  </pic:spPr>
                </pic:pic>
              </a:graphicData>
            </a:graphic>
          </wp:inline>
        </w:drawing>
      </w:r>
    </w:p>
    <w:p w14:paraId="250F0375" w14:textId="77777777" w:rsidR="00CE321F" w:rsidRDefault="00CE321F" w:rsidP="00CE321F"/>
    <w:p w14:paraId="4C046137" w14:textId="47F44402" w:rsidR="00CE321F" w:rsidRDefault="00F82C9C" w:rsidP="00F82C9C">
      <w:pPr>
        <w:pStyle w:val="3"/>
      </w:pPr>
      <w:r>
        <w:rPr>
          <w:rFonts w:hint="eastAsia"/>
        </w:rPr>
        <w:t>加盟商</w:t>
      </w:r>
      <w:r w:rsidR="007D5EA7">
        <w:rPr>
          <w:rFonts w:hint="eastAsia"/>
        </w:rPr>
        <w:t>视角</w:t>
      </w:r>
    </w:p>
    <w:p w14:paraId="70F07950" w14:textId="65E847D8" w:rsidR="00E86EAC" w:rsidRPr="00383D60" w:rsidRDefault="00383D60">
      <w:pPr>
        <w:pStyle w:val="a9"/>
        <w:numPr>
          <w:ilvl w:val="0"/>
          <w:numId w:val="12"/>
        </w:numPr>
        <w:rPr>
          <w:b/>
          <w:bCs/>
        </w:rPr>
      </w:pPr>
      <w:r w:rsidRPr="00383D60">
        <w:rPr>
          <w:rFonts w:hint="eastAsia"/>
          <w:b/>
          <w:bCs/>
        </w:rPr>
        <w:t>结论</w:t>
      </w:r>
    </w:p>
    <w:p w14:paraId="79F59811" w14:textId="77777777" w:rsidR="00F84A66" w:rsidRDefault="00383D60" w:rsidP="00CE321F">
      <w:r w:rsidRPr="00383D60">
        <w:t>长期看，麦当劳通过再特许经营、门店标准化和数字化建设，逐步形成了以加盟商为主要经营主体的轻资产网络。这提升了总部的资本效率和利润率，但也将更多门店投资、人工成本和执行责任转移给加盟商，使总部与加盟商之间形成了持续的利益博弈：总部追求体系销售、品牌一致性和长期市场份额，加盟商则优先关注单店现金流、投资回报和运营复杂度。因而，加盟商并不是总部战略的被动执行者，而是决定战略能否真正落地的经营主体。</w:t>
      </w:r>
    </w:p>
    <w:p w14:paraId="67E43A2B" w14:textId="6F1A61FC" w:rsidR="00383D60" w:rsidRDefault="00383D60" w:rsidP="00CE321F">
      <w:r w:rsidRPr="00383D60">
        <w:t>2026 年美国市场的执行偏差和门店运营过载，说明麦当劳当前面临的主要约束已不只是消费者需求，而是总部方案能否同时满足加盟商的回报要求和门店的执行能力</w:t>
      </w:r>
      <w:r>
        <w:rPr>
          <w:rFonts w:hint="eastAsia"/>
        </w:rPr>
        <w:t>。</w:t>
      </w:r>
      <w:r w:rsidR="00F84A66" w:rsidRPr="00F84A66">
        <w:t>NEXT 因此不应被理解为单纯的装修或技术升级，而是总部试图通过生产力提升、租金及资本支持和分阶段落地，重新建立“加盟商现金流改善—加盟商愿意投资和执行—消费者体验改善—体系销售增长”的经营闭环。管理层披露的加盟商资金基础较为健康，但 NEXT 的净投资额、实际现金流增量和回收期仍待验证。未来麦当劳经营质量的关键，不在于总部提出多少新战略，而在于能否持续把总部目标转化为加盟商愿意执行、能够执行且执行后确实有利可图的门店方案。</w:t>
      </w:r>
    </w:p>
    <w:p w14:paraId="6BFCB4F3" w14:textId="77777777" w:rsidR="00754A5A" w:rsidRDefault="00754A5A" w:rsidP="00CE321F"/>
    <w:p w14:paraId="5D9584AA" w14:textId="77777777" w:rsidR="00754A5A" w:rsidRPr="00881559" w:rsidRDefault="00754A5A" w:rsidP="000D25B7">
      <w:pPr>
        <w:jc w:val="center"/>
      </w:pPr>
      <w:r>
        <w:t>餐饮实际需求放缓 → 竞争转向份额争夺 → 价值敏感度提升 → 客单和折扣之间重新平衡 → 加盟商回报决定新店与翻新投资 → 麦当劳增长质量取决于份额增长能否转化为加盟商现金回报。</w:t>
      </w:r>
    </w:p>
    <w:p w14:paraId="2969DECF" w14:textId="77777777" w:rsidR="00754A5A" w:rsidRPr="00754A5A" w:rsidRDefault="00754A5A" w:rsidP="00CE321F"/>
    <w:p w14:paraId="40090906" w14:textId="2487AED5" w:rsidR="003D0EAE" w:rsidRDefault="003D0EAE" w:rsidP="003D0EAE">
      <w:pPr>
        <w:pStyle w:val="ae"/>
        <w:keepNext/>
      </w:pPr>
      <w:r>
        <w:lastRenderedPageBreak/>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34</w:t>
      </w:r>
      <w:r w:rsidR="00CC796E">
        <w:fldChar w:fldCharType="end"/>
      </w:r>
      <w:r>
        <w:rPr>
          <w:rFonts w:hint="eastAsia"/>
        </w:rPr>
        <w:t>：</w:t>
      </w:r>
      <w:r>
        <w:rPr>
          <w:rFonts w:hint="eastAsia"/>
        </w:rPr>
        <w:t>FY2025</w:t>
      </w:r>
      <w:r>
        <w:rPr>
          <w:rFonts w:hint="eastAsia"/>
        </w:rPr>
        <w:t>特许经营收入</w:t>
      </w:r>
    </w:p>
    <w:p w14:paraId="35AC0FCF" w14:textId="77777777" w:rsidR="003D0EAE" w:rsidRDefault="003D0EAE" w:rsidP="003D0EAE">
      <w:r w:rsidRPr="00DA784C">
        <w:rPr>
          <w:noProof/>
        </w:rPr>
        <w:drawing>
          <wp:inline distT="0" distB="0" distL="0" distR="0" wp14:anchorId="424884CF" wp14:editId="731BE29F">
            <wp:extent cx="6645910" cy="1595120"/>
            <wp:effectExtent l="0" t="0" r="0" b="5080"/>
            <wp:docPr id="2133816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16778" name=""/>
                    <pic:cNvPicPr/>
                  </pic:nvPicPr>
                  <pic:blipFill>
                    <a:blip r:embed="rId51"/>
                    <a:stretch>
                      <a:fillRect/>
                    </a:stretch>
                  </pic:blipFill>
                  <pic:spPr>
                    <a:xfrm>
                      <a:off x="0" y="0"/>
                      <a:ext cx="6645910" cy="1595120"/>
                    </a:xfrm>
                    <a:prstGeom prst="rect">
                      <a:avLst/>
                    </a:prstGeom>
                  </pic:spPr>
                </pic:pic>
              </a:graphicData>
            </a:graphic>
          </wp:inline>
        </w:drawing>
      </w:r>
    </w:p>
    <w:p w14:paraId="24E74FDE" w14:textId="77777777" w:rsidR="003D0EAE" w:rsidRDefault="003D0EAE" w:rsidP="003D0EAE">
      <w:r w:rsidRPr="00603DB4">
        <w:t>租金约占特许经营收入的63%，royalty约占36%。</w:t>
      </w:r>
    </w:p>
    <w:p w14:paraId="58EFBF0E" w14:textId="07D29297" w:rsidR="003D0EAE" w:rsidRDefault="003D0EAE" w:rsidP="003D0EAE">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35</w:t>
      </w:r>
      <w:r w:rsidR="00CC796E">
        <w:fldChar w:fldCharType="end"/>
      </w:r>
      <w:r>
        <w:rPr>
          <w:rFonts w:hint="eastAsia"/>
        </w:rPr>
        <w:t>：</w:t>
      </w:r>
      <w:r>
        <w:rPr>
          <w:rFonts w:hint="eastAsia"/>
        </w:rPr>
        <w:t>FY2025</w:t>
      </w:r>
      <w:r>
        <w:rPr>
          <w:rFonts w:hint="eastAsia"/>
        </w:rPr>
        <w:t>现有常规特许经营合同对应最低租金</w:t>
      </w:r>
    </w:p>
    <w:p w14:paraId="008159E6" w14:textId="77777777" w:rsidR="003D0EAE" w:rsidRDefault="003D0EAE" w:rsidP="003D0EAE">
      <w:r w:rsidRPr="00603DB4">
        <w:rPr>
          <w:noProof/>
        </w:rPr>
        <w:drawing>
          <wp:inline distT="0" distB="0" distL="0" distR="0" wp14:anchorId="0FD1DD68" wp14:editId="0127AAFD">
            <wp:extent cx="6645910" cy="2715895"/>
            <wp:effectExtent l="0" t="0" r="0" b="1905"/>
            <wp:docPr id="894503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03095" name=""/>
                    <pic:cNvPicPr/>
                  </pic:nvPicPr>
                  <pic:blipFill>
                    <a:blip r:embed="rId52"/>
                    <a:stretch>
                      <a:fillRect/>
                    </a:stretch>
                  </pic:blipFill>
                  <pic:spPr>
                    <a:xfrm>
                      <a:off x="0" y="0"/>
                      <a:ext cx="6645910" cy="2715895"/>
                    </a:xfrm>
                    <a:prstGeom prst="rect">
                      <a:avLst/>
                    </a:prstGeom>
                  </pic:spPr>
                </pic:pic>
              </a:graphicData>
            </a:graphic>
          </wp:inline>
        </w:drawing>
      </w:r>
    </w:p>
    <w:p w14:paraId="7D628FE9" w14:textId="77777777" w:rsidR="003D0EAE" w:rsidRDefault="003D0EAE" w:rsidP="003D0EAE">
      <w:r w:rsidRPr="009803B9">
        <w:t>加盟商承担的费用并非全部随销售额同步变化。</w:t>
      </w:r>
      <w:r>
        <w:rPr>
          <w:rFonts w:hint="eastAsia"/>
        </w:rPr>
        <w:t>当销售额下降时：</w:t>
      </w:r>
    </w:p>
    <w:p w14:paraId="4937E929" w14:textId="77777777" w:rsidR="003D0EAE" w:rsidRDefault="003D0EAE">
      <w:pPr>
        <w:pStyle w:val="a9"/>
        <w:numPr>
          <w:ilvl w:val="0"/>
          <w:numId w:val="29"/>
        </w:numPr>
      </w:pPr>
      <w:r>
        <w:t>royalty通常会随销售额下降；</w:t>
      </w:r>
    </w:p>
    <w:p w14:paraId="00F8B785" w14:textId="77777777" w:rsidR="003D0EAE" w:rsidRDefault="003D0EAE">
      <w:pPr>
        <w:pStyle w:val="a9"/>
        <w:numPr>
          <w:ilvl w:val="0"/>
          <w:numId w:val="29"/>
        </w:numPr>
      </w:pPr>
      <w:r>
        <w:t>但最低租金不会同比例下降；</w:t>
      </w:r>
    </w:p>
    <w:p w14:paraId="60A512D3" w14:textId="77777777" w:rsidR="003D0EAE" w:rsidRDefault="003D0EAE">
      <w:pPr>
        <w:pStyle w:val="a9"/>
        <w:numPr>
          <w:ilvl w:val="0"/>
          <w:numId w:val="29"/>
        </w:numPr>
      </w:pPr>
      <w:r>
        <w:t>房产税、保险、场地维护和人工等成本仍然存在；</w:t>
      </w:r>
    </w:p>
    <w:p w14:paraId="37D01A9F" w14:textId="77777777" w:rsidR="003D0EAE" w:rsidRDefault="003D0EAE">
      <w:pPr>
        <w:pStyle w:val="a9"/>
        <w:numPr>
          <w:ilvl w:val="0"/>
          <w:numId w:val="29"/>
        </w:numPr>
      </w:pPr>
      <w:r>
        <w:t>加盟商现金流会受到比麦当劳特许经营收入更大的压力。</w:t>
      </w:r>
    </w:p>
    <w:p w14:paraId="6CACE639" w14:textId="153CEF16" w:rsidR="003D0EAE" w:rsidRPr="003D0EAE" w:rsidRDefault="003D0EAE" w:rsidP="00CE321F">
      <w:r w:rsidRPr="00F86139">
        <w:t>因此，加盟商的经营杠杆实际上高于麦当劳公司层面。麦当劳收入较稳定，但加盟商承担了更多固定经营负担。</w:t>
      </w:r>
    </w:p>
    <w:p w14:paraId="4E9B7907" w14:textId="393B26AD" w:rsidR="00CE321F" w:rsidRDefault="00E86EAC" w:rsidP="00CE321F">
      <w:r w:rsidRPr="00F83F39">
        <w:rPr>
          <w:b/>
          <w:bCs/>
        </w:rPr>
        <w:t>加盟商目前的主要约束不是“有没有钱”，而是“项目回报是否足够、门店是否有能力执行”。</w:t>
      </w:r>
      <w:r w:rsidR="00AB3D3E">
        <w:rPr>
          <w:rFonts w:hint="eastAsia"/>
        </w:rPr>
        <w:t>2026年投资者日披露</w:t>
      </w:r>
      <w:r w:rsidR="005F47A6">
        <w:rPr>
          <w:rFonts w:hint="eastAsia"/>
        </w:rPr>
        <w:t>了</w:t>
      </w:r>
      <w:r w:rsidR="005F47A6" w:rsidRPr="009913FE">
        <w:rPr>
          <w:b/>
          <w:bCs/>
        </w:rPr>
        <w:t>加盟商财务基础</w:t>
      </w:r>
      <w:r w:rsidR="00AB3D3E">
        <w:rPr>
          <w:rFonts w:hint="eastAsia"/>
        </w:rPr>
        <w:t>，</w:t>
      </w:r>
      <w:r w:rsidR="00AB3D3E" w:rsidRPr="00AB3D3E">
        <w:t>美国市场单店平均年销售额超400万美元，运营现金流约50万美元，较2019年美国加盟商总现金流提升近50%；前五大自营市场单店平均年销售额超450万美元，现金流约40万美元，加盟商资产负债表健康，具备投资能力。</w:t>
      </w:r>
    </w:p>
    <w:p w14:paraId="02BE30CF" w14:textId="2B686635" w:rsidR="00F3354F" w:rsidRDefault="00F3354F" w:rsidP="00CE321F">
      <w:r w:rsidRPr="00F3354F">
        <w:t>但 2026Q1、Q2 同时承认，食品、人工、牛肉等成本通胀正在压缩加盟商利润，门店扩张项目必须重新审核回报，不达标的项目会被剔除。也就是说，加盟商仍有投资能力，但投资意愿取决于现金回报，而不是单纯的融资能力。</w:t>
      </w:r>
    </w:p>
    <w:p w14:paraId="1069E40A" w14:textId="77777777" w:rsidR="00245B54" w:rsidRDefault="00245B54" w:rsidP="00245B54"/>
    <w:p w14:paraId="12E295DA" w14:textId="231EDFC3" w:rsidR="00060624" w:rsidRDefault="00060624" w:rsidP="00060624">
      <w:pPr>
        <w:pStyle w:val="ae"/>
        <w:keepNext/>
      </w:pPr>
      <w:r>
        <w:lastRenderedPageBreak/>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36</w:t>
      </w:r>
      <w:r w:rsidR="00CC796E">
        <w:fldChar w:fldCharType="end"/>
      </w:r>
      <w:r>
        <w:rPr>
          <w:rFonts w:hint="eastAsia"/>
        </w:rPr>
        <w:t>：麦当劳战略</w:t>
      </w:r>
    </w:p>
    <w:p w14:paraId="77359C92" w14:textId="0BC364A1" w:rsidR="00AF5C4A" w:rsidRDefault="00060624" w:rsidP="00245B54">
      <w:r w:rsidRPr="00060624">
        <w:rPr>
          <w:noProof/>
        </w:rPr>
        <w:drawing>
          <wp:inline distT="0" distB="0" distL="0" distR="0" wp14:anchorId="61F828B6" wp14:editId="0252F5BE">
            <wp:extent cx="6645910" cy="3817620"/>
            <wp:effectExtent l="0" t="0" r="0" b="5080"/>
            <wp:docPr id="820744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44377" name=""/>
                    <pic:cNvPicPr/>
                  </pic:nvPicPr>
                  <pic:blipFill>
                    <a:blip r:embed="rId53"/>
                    <a:stretch>
                      <a:fillRect/>
                    </a:stretch>
                  </pic:blipFill>
                  <pic:spPr>
                    <a:xfrm>
                      <a:off x="0" y="0"/>
                      <a:ext cx="6645910" cy="3817620"/>
                    </a:xfrm>
                    <a:prstGeom prst="rect">
                      <a:avLst/>
                    </a:prstGeom>
                  </pic:spPr>
                </pic:pic>
              </a:graphicData>
            </a:graphic>
          </wp:inline>
        </w:drawing>
      </w:r>
    </w:p>
    <w:p w14:paraId="554E702D" w14:textId="1579FE4A" w:rsidR="007648D1" w:rsidRDefault="00060624" w:rsidP="00245B54">
      <w:r w:rsidRPr="00060624">
        <w:t>2015 年再特许经营的起点，是总部主动把资本开支和经营责任转移给加盟商。2015 年公司提出到 2017 年再特许经营约 4,000 家餐厅、长期将特许经营比例提升至约 95%。这提高了麦当劳的资本效率和利润率，但也意味着总部必须依靠加盟商完成门店投资和经营执行。</w:t>
      </w:r>
    </w:p>
    <w:p w14:paraId="463DEF88" w14:textId="14D17703" w:rsidR="009C79A7" w:rsidRPr="009C79A7" w:rsidRDefault="009C79A7">
      <w:pPr>
        <w:pStyle w:val="a9"/>
        <w:numPr>
          <w:ilvl w:val="0"/>
          <w:numId w:val="19"/>
        </w:numPr>
        <w:rPr>
          <w:b/>
          <w:bCs/>
        </w:rPr>
      </w:pPr>
      <w:r w:rsidRPr="009C79A7">
        <w:rPr>
          <w:rFonts w:hint="eastAsia"/>
          <w:b/>
          <w:bCs/>
        </w:rPr>
        <w:t>博弈案例</w:t>
      </w:r>
    </w:p>
    <w:p w14:paraId="507203CB" w14:textId="50AE3541" w:rsidR="007648D1" w:rsidRDefault="00974AC2" w:rsidP="00245B54">
      <w:r w:rsidRPr="00974AC2">
        <w:t>McValue、EVM 和 EDAP 是最能观察双方博弈的案例。</w:t>
      </w:r>
    </w:p>
    <w:p w14:paraId="296BA303" w14:textId="6E2009F6" w:rsidR="00FF0C86" w:rsidRDefault="00FF0C86" w:rsidP="00245B54">
      <w:r w:rsidRPr="00FF0C86">
        <w:rPr>
          <w:noProof/>
        </w:rPr>
        <w:drawing>
          <wp:inline distT="0" distB="0" distL="0" distR="0" wp14:anchorId="5E2B1E13" wp14:editId="58935726">
            <wp:extent cx="6645910" cy="1905000"/>
            <wp:effectExtent l="0" t="0" r="0" b="0"/>
            <wp:docPr id="2003353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53258" name=""/>
                    <pic:cNvPicPr/>
                  </pic:nvPicPr>
                  <pic:blipFill>
                    <a:blip r:embed="rId54"/>
                    <a:stretch>
                      <a:fillRect/>
                    </a:stretch>
                  </pic:blipFill>
                  <pic:spPr>
                    <a:xfrm>
                      <a:off x="0" y="0"/>
                      <a:ext cx="6645910" cy="1905000"/>
                    </a:xfrm>
                    <a:prstGeom prst="rect">
                      <a:avLst/>
                    </a:prstGeom>
                  </pic:spPr>
                </pic:pic>
              </a:graphicData>
            </a:graphic>
          </wp:inline>
        </w:drawing>
      </w:r>
    </w:p>
    <w:p w14:paraId="17F72538" w14:textId="11D4293E" w:rsidR="00F47EC1" w:rsidRPr="00F47EC1" w:rsidRDefault="00F47EC1" w:rsidP="00F47EC1">
      <w:pPr>
        <w:rPr>
          <w:b/>
          <w:bCs/>
        </w:rPr>
      </w:pPr>
      <w:r w:rsidRPr="00F47EC1">
        <w:rPr>
          <w:b/>
          <w:bCs/>
        </w:rPr>
        <w:t>总部的目标</w:t>
      </w:r>
    </w:p>
    <w:p w14:paraId="7F5B872B" w14:textId="77777777" w:rsidR="00F47EC1" w:rsidRDefault="00F47EC1" w:rsidP="00F47EC1">
      <w:r>
        <w:t>总部希望通过 5 美元、8 美元套餐以及 3 美元以下产品：</w:t>
      </w:r>
    </w:p>
    <w:p w14:paraId="755D74CE" w14:textId="77410F30" w:rsidR="00F47EC1" w:rsidRDefault="00F47EC1">
      <w:pPr>
        <w:pStyle w:val="a9"/>
        <w:numPr>
          <w:ilvl w:val="0"/>
          <w:numId w:val="30"/>
        </w:numPr>
      </w:pPr>
      <w:r>
        <w:t>恢复消费者对麦当劳“划算”的认知；</w:t>
      </w:r>
    </w:p>
    <w:p w14:paraId="1D56EA2A" w14:textId="1CCDF823" w:rsidR="00F47EC1" w:rsidRDefault="00F47EC1">
      <w:pPr>
        <w:pStyle w:val="a9"/>
        <w:numPr>
          <w:ilvl w:val="0"/>
          <w:numId w:val="30"/>
        </w:numPr>
      </w:pPr>
      <w:r>
        <w:t>拉回低收入消费者；</w:t>
      </w:r>
    </w:p>
    <w:p w14:paraId="2A621351" w14:textId="7AC18AA4" w:rsidR="00F47EC1" w:rsidRDefault="00F47EC1">
      <w:pPr>
        <w:pStyle w:val="a9"/>
        <w:numPr>
          <w:ilvl w:val="0"/>
          <w:numId w:val="30"/>
        </w:numPr>
      </w:pPr>
      <w:r>
        <w:t>增加客流和消费频次；</w:t>
      </w:r>
    </w:p>
    <w:p w14:paraId="0F8BDDE6" w14:textId="7B4A6DDB" w:rsidR="00F47EC1" w:rsidRDefault="00F47EC1">
      <w:pPr>
        <w:pStyle w:val="a9"/>
        <w:numPr>
          <w:ilvl w:val="0"/>
          <w:numId w:val="30"/>
        </w:numPr>
      </w:pPr>
      <w:r>
        <w:t>通过更高销售额改善加盟商单店经济。</w:t>
      </w:r>
    </w:p>
    <w:p w14:paraId="03CC815F" w14:textId="6178BBD8" w:rsidR="00F47EC1" w:rsidRPr="004E7B99" w:rsidRDefault="00F47EC1" w:rsidP="00F47EC1">
      <w:pPr>
        <w:rPr>
          <w:b/>
          <w:bCs/>
        </w:rPr>
      </w:pPr>
      <w:r w:rsidRPr="004E7B99">
        <w:rPr>
          <w:b/>
          <w:bCs/>
        </w:rPr>
        <w:lastRenderedPageBreak/>
        <w:t>加盟商的顾虑</w:t>
      </w:r>
    </w:p>
    <w:p w14:paraId="578BD18F" w14:textId="77777777" w:rsidR="00F47EC1" w:rsidRDefault="00F47EC1" w:rsidP="00F47EC1">
      <w:r>
        <w:t>加盟商需要承担：</w:t>
      </w:r>
    </w:p>
    <w:p w14:paraId="29F32FB2" w14:textId="70F8D3E1" w:rsidR="00F47EC1" w:rsidRDefault="00F47EC1">
      <w:pPr>
        <w:pStyle w:val="a9"/>
        <w:numPr>
          <w:ilvl w:val="0"/>
          <w:numId w:val="31"/>
        </w:numPr>
      </w:pPr>
      <w:r>
        <w:t>产品价格下降带来的毛利压力；</w:t>
      </w:r>
    </w:p>
    <w:p w14:paraId="717983D9" w14:textId="7A9CBCF4" w:rsidR="00F47EC1" w:rsidRDefault="00F47EC1">
      <w:pPr>
        <w:pStyle w:val="a9"/>
        <w:numPr>
          <w:ilvl w:val="0"/>
          <w:numId w:val="31"/>
        </w:numPr>
      </w:pPr>
      <w:r>
        <w:t>食品、人工、牛肉价格上涨；</w:t>
      </w:r>
    </w:p>
    <w:p w14:paraId="5DC400E9" w14:textId="3739E28B" w:rsidR="00F47EC1" w:rsidRDefault="00F47EC1">
      <w:pPr>
        <w:pStyle w:val="a9"/>
        <w:numPr>
          <w:ilvl w:val="0"/>
          <w:numId w:val="31"/>
        </w:numPr>
      </w:pPr>
      <w:r>
        <w:t>统一价格点与各地成本差异之间的冲突；</w:t>
      </w:r>
    </w:p>
    <w:p w14:paraId="4363C5D5" w14:textId="51A97D9A" w:rsidR="00F47EC1" w:rsidRDefault="00F47EC1">
      <w:pPr>
        <w:pStyle w:val="a9"/>
        <w:numPr>
          <w:ilvl w:val="0"/>
          <w:numId w:val="31"/>
        </w:numPr>
      </w:pPr>
      <w:r>
        <w:t>更多促销带来的操作复杂度。</w:t>
      </w:r>
    </w:p>
    <w:p w14:paraId="7ABD622D" w14:textId="65A95864" w:rsidR="007648D1" w:rsidRDefault="00F47EC1" w:rsidP="00F47EC1">
      <w:r>
        <w:t>2025Q2 管理层已经明确承认，美国和 IOM 的通胀增加了加盟商压力，各地工资差异使统一价格点难以执行，公司必须与加盟商协商出对双方利润都有效的方案。</w:t>
      </w:r>
    </w:p>
    <w:p w14:paraId="5D3F5B64" w14:textId="77777777" w:rsidR="00E31761" w:rsidRDefault="00E31761" w:rsidP="00245B54"/>
    <w:p w14:paraId="3C3AABDC" w14:textId="7635A8E7" w:rsidR="007648D1" w:rsidRDefault="000823AD" w:rsidP="00245B54">
      <w:r w:rsidRPr="000823AD">
        <w:rPr>
          <w:rFonts w:hint="eastAsia"/>
          <w:b/>
          <w:bCs/>
        </w:rPr>
        <w:t>EVM</w:t>
      </w:r>
      <w:r>
        <w:rPr>
          <w:rFonts w:hint="eastAsia"/>
        </w:rPr>
        <w:t>：</w:t>
      </w:r>
      <w:r w:rsidR="00E31761" w:rsidRPr="00E31761">
        <w:t>2025Q3，公司为 EVM 提供菜单降价部分的 50% 联合投资，并披露 98%–99% 的加盟商认可 EVM 的方向。判断项目是否继续的标准，不是加盟商是否接受总部理念，而是客流增长能否覆盖加盟商的价格投入。</w:t>
      </w:r>
      <w:r w:rsidR="003633B2" w:rsidRPr="003633B2">
        <w:t>这说明总部采用的是一种“有限补贴换取执行”的机制，而不是永久承担加盟商的价格成本。</w:t>
      </w:r>
    </w:p>
    <w:p w14:paraId="20FF2CDF" w14:textId="33426DD4" w:rsidR="000834BC" w:rsidRDefault="000823AD" w:rsidP="00245B54">
      <w:r w:rsidRPr="000823AD">
        <w:rPr>
          <w:rFonts w:hint="eastAsia"/>
          <w:b/>
          <w:bCs/>
        </w:rPr>
        <w:t>EDAP</w:t>
      </w:r>
      <w:r>
        <w:rPr>
          <w:rFonts w:hint="eastAsia"/>
        </w:rPr>
        <w:t>：</w:t>
      </w:r>
      <w:r w:rsidR="00997975" w:rsidRPr="00997975">
        <w:t>FY2026 Q1，McValue升级方案经过加盟商投票一致通过。</w:t>
      </w:r>
      <w:r w:rsidR="00A16B28" w:rsidRPr="00A16B28">
        <w:t>2026Q2，约三分之一加盟商没有按照 EDAP 指引执行。管理层认为原因之一是“低于 3 美元”的规则过于宽泛，加盟商仍拥有较大定价自主权，部分加盟商因此提价。</w:t>
      </w:r>
    </w:p>
    <w:p w14:paraId="76F9E32C" w14:textId="7462CBDE" w:rsidR="000834BC" w:rsidRDefault="005C40E0" w:rsidP="00245B54">
      <w:r w:rsidRPr="005C40E0">
        <w:t>当总部目标是体系客流和品牌价值，而加盟商承担的是单店利润损失时，只要规则没有明确补偿机制，加盟商就会按照自身门店经济做出理性选择。</w:t>
      </w:r>
    </w:p>
    <w:p w14:paraId="59AC23C7" w14:textId="77777777" w:rsidR="005C40E0" w:rsidRPr="005C40E0" w:rsidRDefault="005C40E0" w:rsidP="005C40E0">
      <w:r w:rsidRPr="005C40E0">
        <w:t>总部随后提出两种约束：</w:t>
      </w:r>
    </w:p>
    <w:p w14:paraId="3BE5642E" w14:textId="15B8EBAB" w:rsidR="005C40E0" w:rsidRPr="005C40E0" w:rsidRDefault="005C40E0">
      <w:pPr>
        <w:pStyle w:val="a9"/>
        <w:numPr>
          <w:ilvl w:val="1"/>
          <w:numId w:val="32"/>
        </w:numPr>
      </w:pPr>
      <w:r w:rsidRPr="005C40E0">
        <w:t>用加盟商之间的经营数据做对比教育；</w:t>
      </w:r>
    </w:p>
    <w:p w14:paraId="6A411F36" w14:textId="130E082A" w:rsidR="005C40E0" w:rsidRPr="005C40E0" w:rsidRDefault="005C40E0">
      <w:pPr>
        <w:pStyle w:val="a9"/>
        <w:numPr>
          <w:ilvl w:val="1"/>
          <w:numId w:val="32"/>
        </w:numPr>
      </w:pPr>
      <w:r w:rsidRPr="005C40E0">
        <w:t>将定价合规纳入业务评估，并影响后续扩店资格。</w:t>
      </w:r>
    </w:p>
    <w:p w14:paraId="095A0453" w14:textId="5F574709" w:rsidR="00694262" w:rsidRPr="005C40E0" w:rsidRDefault="005C40E0" w:rsidP="005C40E0">
      <w:r w:rsidRPr="005C40E0">
        <w:t>这意味着麦当劳正在从“说服加盟商”转向“数据教育 + 经济激励 + 扩张约束”的组合治理。</w:t>
      </w:r>
    </w:p>
    <w:p w14:paraId="530CBF72" w14:textId="77777777" w:rsidR="00FF22FC" w:rsidRDefault="00FF22FC">
      <w:pPr>
        <w:rPr>
          <w:b/>
          <w:bCs/>
        </w:rPr>
      </w:pPr>
    </w:p>
    <w:p w14:paraId="5DD03B05" w14:textId="14BFCAFD" w:rsidR="001D4BB1" w:rsidRPr="00144C73" w:rsidRDefault="00144C73">
      <w:pPr>
        <w:pStyle w:val="a9"/>
        <w:numPr>
          <w:ilvl w:val="0"/>
          <w:numId w:val="19"/>
        </w:numPr>
        <w:rPr>
          <w:b/>
          <w:bCs/>
        </w:rPr>
      </w:pPr>
      <w:r w:rsidRPr="00144C73">
        <w:rPr>
          <w:rFonts w:hint="eastAsia"/>
          <w:b/>
          <w:bCs/>
        </w:rPr>
        <w:t>NEXT</w:t>
      </w:r>
    </w:p>
    <w:p w14:paraId="6B261109" w14:textId="4C530A77" w:rsidR="001D4BB1" w:rsidRPr="00144C73" w:rsidRDefault="0059108A">
      <w:r w:rsidRPr="0059108A">
        <w:t>McDonald’s NEXT 是麦当劳在 2026 年投资者日提出的一项多年期经营战略，可以理解为：</w:t>
      </w:r>
      <w:r w:rsidR="00126154" w:rsidRPr="00126154">
        <w:t>以菜单升级和消费者增长为前端，以门店、员工和 AI 效率提升为后端，</w:t>
      </w:r>
      <w:r w:rsidR="00126154" w:rsidRPr="00AC1675">
        <w:rPr>
          <w:b/>
          <w:bCs/>
        </w:rPr>
        <w:t>重新设计麦当劳餐厅经营系统</w:t>
      </w:r>
      <w:r w:rsidR="00126154" w:rsidRPr="00126154">
        <w:t>。</w:t>
      </w:r>
    </w:p>
    <w:p w14:paraId="44E357E0" w14:textId="77777777" w:rsidR="007D7C4D" w:rsidRDefault="007D7C4D" w:rsidP="007D7C4D">
      <w:r>
        <w:t>NEXT 的核心假设是：</w:t>
      </w:r>
    </w:p>
    <w:p w14:paraId="15BC3472" w14:textId="60AF0D7A" w:rsidR="007D7C4D" w:rsidRDefault="007D7C4D" w:rsidP="007D7C4D">
      <w:pPr>
        <w:ind w:left="420"/>
      </w:pPr>
      <w:r>
        <w:t>如果总部先帮助加盟商提高门店生产力和现金流，加盟商就更有能力和意愿接受价值投资、门店升级和菜单创新，最终带来更稳定的客流和体系销售增长。</w:t>
      </w:r>
    </w:p>
    <w:p w14:paraId="15BD561D" w14:textId="5E5C4B28" w:rsidR="00063719" w:rsidRDefault="00063719" w:rsidP="00063719">
      <w:r>
        <w:t>管理层给 NEXT 设定的长期目标包括：</w:t>
      </w:r>
    </w:p>
    <w:p w14:paraId="1B9D54CE" w14:textId="1B4A0930" w:rsidR="00063719" w:rsidRDefault="00063719">
      <w:pPr>
        <w:pStyle w:val="a9"/>
        <w:numPr>
          <w:ilvl w:val="1"/>
          <w:numId w:val="33"/>
        </w:numPr>
      </w:pPr>
      <w:r>
        <w:t>鸡肉和饮料品类到 2030 年各提升约 1.5 个百分点市场份额；</w:t>
      </w:r>
    </w:p>
    <w:p w14:paraId="7DCB1423" w14:textId="3FAE959B" w:rsidR="00063719" w:rsidRDefault="00063719">
      <w:pPr>
        <w:pStyle w:val="a9"/>
        <w:numPr>
          <w:ilvl w:val="1"/>
          <w:numId w:val="33"/>
        </w:numPr>
      </w:pPr>
      <w:r>
        <w:t>自营市场餐厅实现约 250 个基点的效率提升；</w:t>
      </w:r>
    </w:p>
    <w:p w14:paraId="37EFFCB7" w14:textId="769D620C" w:rsidR="0008236A" w:rsidRDefault="00063719">
      <w:pPr>
        <w:pStyle w:val="a9"/>
        <w:numPr>
          <w:ilvl w:val="1"/>
          <w:numId w:val="33"/>
        </w:numPr>
      </w:pPr>
      <w:r>
        <w:t>2030 年调整后营业利润率达到 50%–55%。</w:t>
      </w:r>
    </w:p>
    <w:p w14:paraId="0E0D972F" w14:textId="77777777" w:rsidR="0008236A" w:rsidRDefault="0008236A"/>
    <w:p w14:paraId="482E593B" w14:textId="7E3C6219" w:rsidR="009F1683" w:rsidRPr="009F1683" w:rsidRDefault="009F1683" w:rsidP="009F1683">
      <w:pPr>
        <w:rPr>
          <w:b/>
          <w:bCs/>
        </w:rPr>
      </w:pPr>
      <w:r w:rsidRPr="009F1683">
        <w:rPr>
          <w:b/>
          <w:bCs/>
        </w:rPr>
        <w:t xml:space="preserve">Menu </w:t>
      </w:r>
      <w:r w:rsidR="00392EDA" w:rsidRPr="000471D8">
        <w:rPr>
          <w:b/>
          <w:bCs/>
        </w:rPr>
        <w:t>NEXT</w:t>
      </w:r>
      <w:r w:rsidRPr="009F1683">
        <w:rPr>
          <w:b/>
          <w:bCs/>
        </w:rPr>
        <w:t>和 Consumer</w:t>
      </w:r>
      <w:r w:rsidR="00392EDA">
        <w:rPr>
          <w:rFonts w:hint="eastAsia"/>
          <w:b/>
          <w:bCs/>
        </w:rPr>
        <w:t xml:space="preserve"> </w:t>
      </w:r>
      <w:r w:rsidR="00392EDA" w:rsidRPr="000471D8">
        <w:rPr>
          <w:b/>
          <w:bCs/>
        </w:rPr>
        <w:t>NEXT</w:t>
      </w:r>
      <w:r w:rsidRPr="009F1683">
        <w:rPr>
          <w:b/>
          <w:bCs/>
        </w:rPr>
        <w:t>：负责创造需求</w:t>
      </w:r>
    </w:p>
    <w:p w14:paraId="35220B12" w14:textId="77777777" w:rsidR="009F1683" w:rsidRPr="009F1683" w:rsidRDefault="009F1683" w:rsidP="009F1683">
      <w:r w:rsidRPr="009F1683">
        <w:lastRenderedPageBreak/>
        <w:t>菜单升级、饮料、鸡肉、忠诚度和营销，目标是提高客流、消费频次和客单价。</w:t>
      </w:r>
    </w:p>
    <w:p w14:paraId="0915DB03" w14:textId="760F74D2" w:rsidR="009F1683" w:rsidRPr="009F1683" w:rsidRDefault="009F1683" w:rsidP="009F1683">
      <w:r w:rsidRPr="009F1683">
        <w:t>但如果只有这些需求侧项目，加盟商可能面临“销售增加、操作更复杂、利润没有同步增加”的问题。</w:t>
      </w:r>
    </w:p>
    <w:p w14:paraId="2D5B336E" w14:textId="52734CD4" w:rsidR="00842373" w:rsidRPr="00842373" w:rsidRDefault="00842373" w:rsidP="00842373">
      <w:pPr>
        <w:rPr>
          <w:b/>
          <w:bCs/>
        </w:rPr>
      </w:pPr>
      <w:r w:rsidRPr="00842373">
        <w:rPr>
          <w:b/>
          <w:bCs/>
        </w:rPr>
        <w:t xml:space="preserve">Restaurant </w:t>
      </w:r>
      <w:r w:rsidRPr="000471D8">
        <w:rPr>
          <w:b/>
          <w:bCs/>
        </w:rPr>
        <w:t>NEXT</w:t>
      </w:r>
      <w:r w:rsidRPr="00842373">
        <w:rPr>
          <w:b/>
          <w:bCs/>
        </w:rPr>
        <w:t>和 People</w:t>
      </w:r>
      <w:r>
        <w:rPr>
          <w:rFonts w:hint="eastAsia"/>
          <w:b/>
          <w:bCs/>
        </w:rPr>
        <w:t xml:space="preserve"> </w:t>
      </w:r>
      <w:r w:rsidRPr="000471D8">
        <w:rPr>
          <w:b/>
          <w:bCs/>
        </w:rPr>
        <w:t>NEXT</w:t>
      </w:r>
      <w:r w:rsidRPr="00842373">
        <w:rPr>
          <w:b/>
          <w:bCs/>
        </w:rPr>
        <w:t>：负责把需求转化为利润</w:t>
      </w:r>
    </w:p>
    <w:p w14:paraId="1ED0BD08" w14:textId="77777777" w:rsidR="00842373" w:rsidRDefault="00842373" w:rsidP="00842373">
      <w:r>
        <w:t>厨房设计、得来速升级、库存自动化、语音 AI、设备预测性维护和员工培训，目标不是单纯改善形象，而是：</w:t>
      </w:r>
    </w:p>
    <w:p w14:paraId="48F0ACFA" w14:textId="03B1D584" w:rsidR="00842373" w:rsidRDefault="00842373">
      <w:pPr>
        <w:pStyle w:val="a9"/>
        <w:numPr>
          <w:ilvl w:val="1"/>
          <w:numId w:val="34"/>
        </w:numPr>
      </w:pPr>
      <w:r>
        <w:t>用更少人工完成更多订单；</w:t>
      </w:r>
    </w:p>
    <w:p w14:paraId="5428E130" w14:textId="002EE60F" w:rsidR="00842373" w:rsidRDefault="00842373">
      <w:pPr>
        <w:pStyle w:val="a9"/>
        <w:numPr>
          <w:ilvl w:val="1"/>
          <w:numId w:val="34"/>
        </w:numPr>
      </w:pPr>
      <w:r>
        <w:t>减少食品浪费和订单错误；</w:t>
      </w:r>
    </w:p>
    <w:p w14:paraId="3F53DDA2" w14:textId="4A5821F1" w:rsidR="00842373" w:rsidRDefault="00842373">
      <w:pPr>
        <w:pStyle w:val="a9"/>
        <w:numPr>
          <w:ilvl w:val="1"/>
          <w:numId w:val="34"/>
        </w:numPr>
      </w:pPr>
      <w:r>
        <w:t>提高高峰期产能；</w:t>
      </w:r>
    </w:p>
    <w:p w14:paraId="0F6A589C" w14:textId="4A860622" w:rsidR="00842373" w:rsidRDefault="00842373">
      <w:pPr>
        <w:pStyle w:val="a9"/>
        <w:numPr>
          <w:ilvl w:val="1"/>
          <w:numId w:val="34"/>
        </w:numPr>
      </w:pPr>
      <w:r>
        <w:t>降低员工流失；</w:t>
      </w:r>
    </w:p>
    <w:p w14:paraId="7DD61A75" w14:textId="3B0A8773" w:rsidR="00842373" w:rsidRDefault="00842373">
      <w:pPr>
        <w:pStyle w:val="a9"/>
        <w:numPr>
          <w:ilvl w:val="1"/>
          <w:numId w:val="34"/>
        </w:numPr>
      </w:pPr>
      <w:r>
        <w:t>让新品不会轻易压垮门店。</w:t>
      </w:r>
    </w:p>
    <w:p w14:paraId="0D84C06B" w14:textId="423C8134" w:rsidR="009F1683" w:rsidRPr="005F59BB" w:rsidRDefault="00C104AE" w:rsidP="00842373">
      <w:r>
        <w:rPr>
          <w:rFonts w:hint="eastAsia"/>
        </w:rPr>
        <w:t>关键是</w:t>
      </w:r>
      <w:r>
        <w:t>工具最终能否转化为加盟商的现金流</w:t>
      </w:r>
    </w:p>
    <w:p w14:paraId="546409CB" w14:textId="77777777" w:rsidR="00144C73" w:rsidRPr="00776F99" w:rsidRDefault="00144C73" w:rsidP="00144C73"/>
    <w:p w14:paraId="1DC5836E" w14:textId="7E078E37" w:rsidR="00FD10C5" w:rsidRDefault="00776F99" w:rsidP="00144C73">
      <w:r w:rsidRPr="00776F99">
        <w:t>投资者日披露，美国传统得来速餐厅部署 NEXT 的增量投资约 80 万美元，加盟商年度现金流预计增加约 10 万美元；同时麦当劳计划在 2027–2036 年提供约 85 亿美元租金减免和资本支持。</w:t>
      </w:r>
    </w:p>
    <w:p w14:paraId="2C4AA82D" w14:textId="41959683" w:rsidR="0020674F" w:rsidRPr="005725FB" w:rsidRDefault="0020674F" w:rsidP="00144C73">
      <w:pPr>
        <w:rPr>
          <w:i/>
          <w:iCs/>
        </w:rPr>
      </w:pPr>
      <w:r w:rsidRPr="003F6DE3">
        <w:rPr>
          <w:i/>
          <w:iCs/>
        </w:rPr>
        <w:t>管理层称加盟商回收期约 4 年，但如果简单用 80 万美元投资除以 10 万美元年度现金流增量，静态回收期约为 8 年。</w:t>
      </w:r>
    </w:p>
    <w:p w14:paraId="34B0A7CD" w14:textId="77777777" w:rsidR="00302BB0" w:rsidRDefault="00302BB0" w:rsidP="00302BB0">
      <w:r>
        <w:t>这实际上是总部与加盟商之间的利益重新分配：</w:t>
      </w:r>
    </w:p>
    <w:p w14:paraId="782241F4" w14:textId="302C4781" w:rsidR="00302BB0" w:rsidRDefault="00302BB0">
      <w:pPr>
        <w:pStyle w:val="a9"/>
        <w:numPr>
          <w:ilvl w:val="1"/>
          <w:numId w:val="35"/>
        </w:numPr>
      </w:pPr>
      <w:r>
        <w:t>加盟商承担部分投资和执行责任；</w:t>
      </w:r>
    </w:p>
    <w:p w14:paraId="55492FB7" w14:textId="69D08799" w:rsidR="00302BB0" w:rsidRDefault="00302BB0">
      <w:pPr>
        <w:pStyle w:val="a9"/>
        <w:numPr>
          <w:ilvl w:val="1"/>
          <w:numId w:val="35"/>
        </w:numPr>
      </w:pPr>
      <w:r>
        <w:t>麦当劳通过租金减免、资本支持和技术投入降低加盟商风险；</w:t>
      </w:r>
    </w:p>
    <w:p w14:paraId="73B865E8" w14:textId="0A1EF581" w:rsidR="00302BB0" w:rsidRDefault="00302BB0">
      <w:pPr>
        <w:pStyle w:val="a9"/>
        <w:numPr>
          <w:ilvl w:val="1"/>
          <w:numId w:val="35"/>
        </w:numPr>
      </w:pPr>
      <w:r>
        <w:t>加盟商通过提高效率和执行标准，换取更高的单店现金流；</w:t>
      </w:r>
    </w:p>
    <w:p w14:paraId="042A5ABD" w14:textId="2577597C" w:rsidR="00302BB0" w:rsidRDefault="00302BB0">
      <w:pPr>
        <w:pStyle w:val="a9"/>
        <w:numPr>
          <w:ilvl w:val="1"/>
          <w:numId w:val="35"/>
        </w:numPr>
      </w:pPr>
      <w:r>
        <w:t>麦当劳则获得更稳定的品牌执行、体系销售和特许经营收入。</w:t>
      </w:r>
    </w:p>
    <w:p w14:paraId="3CBB177A" w14:textId="67E7B5E3" w:rsidR="00FD10C5" w:rsidRPr="00776F99" w:rsidRDefault="00302BB0" w:rsidP="00302BB0">
      <w:r>
        <w:t>因此，NEXT 不是单纯给加盟商布置任务，而是尝试把总部和加盟商从“费用分摊关系”变成“共同投资、共同分享增量收益”的关系。</w:t>
      </w:r>
    </w:p>
    <w:p w14:paraId="382FE8D7" w14:textId="77777777" w:rsidR="00675127" w:rsidRPr="00776F99" w:rsidRDefault="00675127" w:rsidP="00144C73"/>
    <w:p w14:paraId="3D54DD99" w14:textId="77777777" w:rsidR="00675127" w:rsidRPr="00776F99" w:rsidRDefault="00675127" w:rsidP="00144C73"/>
    <w:p w14:paraId="772BFF84" w14:textId="2D8F093F" w:rsidR="00675127" w:rsidRPr="00776F99" w:rsidRDefault="00E90239" w:rsidP="00E90239">
      <w:pPr>
        <w:pStyle w:val="2"/>
      </w:pPr>
      <w:r>
        <w:rPr>
          <w:rFonts w:hint="eastAsia"/>
        </w:rPr>
        <w:t>基本面分析</w:t>
      </w:r>
    </w:p>
    <w:p w14:paraId="223766BF" w14:textId="2EF5965E" w:rsidR="00675127" w:rsidRPr="00403234" w:rsidRDefault="00403234">
      <w:pPr>
        <w:pStyle w:val="a9"/>
        <w:numPr>
          <w:ilvl w:val="0"/>
          <w:numId w:val="12"/>
        </w:numPr>
        <w:rPr>
          <w:b/>
          <w:bCs/>
        </w:rPr>
      </w:pPr>
      <w:r w:rsidRPr="00403234">
        <w:rPr>
          <w:rFonts w:hint="eastAsia"/>
          <w:b/>
          <w:bCs/>
        </w:rPr>
        <w:t>结论</w:t>
      </w:r>
    </w:p>
    <w:p w14:paraId="6C514408" w14:textId="77777777" w:rsidR="00403234" w:rsidRDefault="00403234" w:rsidP="00403234">
      <w:r>
        <w:t>过去十年，体系销售额从 850 亿美元增至 1,394 亿美元，增长约 64%；但公司收入仅从 246 亿美元增至 269 亿美元，增长约 9%。收入增长较慢的原因，是直营销售持续收缩、加盟收入占比不断提高。</w:t>
      </w:r>
    </w:p>
    <w:p w14:paraId="04ABD62E" w14:textId="77777777" w:rsidR="00403234" w:rsidRDefault="00403234" w:rsidP="00403234">
      <w:r>
        <w:t>这种结构转换提升了合并利润率：经营利润率从 31.5%升至 46.1%，但并不代表每家直营店的经营效率都在改善。与此同时，公司把越来越多的资本放在物业、租赁使用权资产和债务融资上，导致 ROIC 从 FY2019 的 21.2%下降至 FY2025 的 19.3%。</w:t>
      </w:r>
    </w:p>
    <w:p w14:paraId="3E543F9B" w14:textId="4F444C25" w:rsidR="00144C73" w:rsidRPr="00776F99" w:rsidRDefault="00403234" w:rsidP="00403234">
      <w:r>
        <w:t>现金流仍然强劲，但资本开支和股东回报不断抬升。FY2021–FY2025 累计 FCF 为 337 亿美元，分红和回购合计 353 亿美元，已经略高于 FCF；再叠加收购和股权投资，股东回报并非完全依靠内部现金流覆盖。</w:t>
      </w:r>
    </w:p>
    <w:p w14:paraId="41190349" w14:textId="083C006B" w:rsidR="00144C73" w:rsidRPr="00776F99" w:rsidRDefault="00783ED7" w:rsidP="00783ED7">
      <w:pPr>
        <w:pStyle w:val="3"/>
      </w:pPr>
      <w:r>
        <w:rPr>
          <w:rFonts w:hint="eastAsia"/>
        </w:rPr>
        <w:lastRenderedPageBreak/>
        <w:t>利润与资本效率</w:t>
      </w:r>
    </w:p>
    <w:p w14:paraId="31C780F5" w14:textId="61FFBB9C" w:rsidR="0045191A" w:rsidRDefault="0045191A" w:rsidP="0045191A">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37</w:t>
      </w:r>
      <w:r w:rsidR="00CC796E">
        <w:fldChar w:fldCharType="end"/>
      </w:r>
      <w:r>
        <w:rPr>
          <w:rFonts w:hint="eastAsia"/>
        </w:rPr>
        <w:t>：利润表摘要</w:t>
      </w:r>
    </w:p>
    <w:p w14:paraId="779FE986" w14:textId="5C266D98" w:rsidR="00144C73" w:rsidRPr="00776F99" w:rsidRDefault="0045191A" w:rsidP="00144C73">
      <w:r w:rsidRPr="0045191A">
        <w:rPr>
          <w:noProof/>
        </w:rPr>
        <w:drawing>
          <wp:inline distT="0" distB="0" distL="0" distR="0" wp14:anchorId="49473B7B" wp14:editId="27B8B01E">
            <wp:extent cx="6645910" cy="1685925"/>
            <wp:effectExtent l="0" t="0" r="0" b="3175"/>
            <wp:docPr id="2091057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57604" name=""/>
                    <pic:cNvPicPr/>
                  </pic:nvPicPr>
                  <pic:blipFill>
                    <a:blip r:embed="rId55"/>
                    <a:stretch>
                      <a:fillRect/>
                    </a:stretch>
                  </pic:blipFill>
                  <pic:spPr>
                    <a:xfrm>
                      <a:off x="0" y="0"/>
                      <a:ext cx="6645910" cy="1685925"/>
                    </a:xfrm>
                    <a:prstGeom prst="rect">
                      <a:avLst/>
                    </a:prstGeom>
                  </pic:spPr>
                </pic:pic>
              </a:graphicData>
            </a:graphic>
          </wp:inline>
        </w:drawing>
      </w:r>
    </w:p>
    <w:p w14:paraId="58DADBC6" w14:textId="4F8D64A1" w:rsidR="0045191A" w:rsidRDefault="0045191A" w:rsidP="0045191A">
      <w:r w:rsidRPr="0045191A">
        <w:rPr>
          <w:b/>
          <w:bCs/>
        </w:rPr>
        <w:t>收入增长主要来自加盟收入，而不是直营销售增长。</w:t>
      </w:r>
      <w:r>
        <w:t>FY2016–FY2025，加盟收入增长约 77%，直营销售下降约 37%。加盟收入占比从 37.9%升至 61.6%。</w:t>
      </w:r>
    </w:p>
    <w:p w14:paraId="25099B9F" w14:textId="44BA14C1" w:rsidR="0045191A" w:rsidRPr="00276CB6" w:rsidRDefault="0045191A" w:rsidP="0045191A">
      <w:pPr>
        <w:rPr>
          <w:b/>
          <w:bCs/>
        </w:rPr>
      </w:pPr>
      <w:r w:rsidRPr="0045191A">
        <w:rPr>
          <w:b/>
          <w:bCs/>
        </w:rPr>
        <w:t>合并利润率改善主要是商业结构变化，而非直营门店全面变强。</w:t>
      </w:r>
      <w:r>
        <w:t>加盟收入的高利润率抬升了合并利润率，但直营餐厅利润率已经从 FY2017 的 18.2%降至 FY2025 的 14.7%。</w:t>
      </w:r>
    </w:p>
    <w:p w14:paraId="703F7220" w14:textId="709EDA1E" w:rsidR="0045191A" w:rsidRDefault="0045191A" w:rsidP="0045191A">
      <w:r w:rsidRPr="00276CB6">
        <w:rPr>
          <w:b/>
          <w:bCs/>
        </w:rPr>
        <w:t>FY2017 和 FY2022 的利润率不能直接作为常态。</w:t>
      </w:r>
      <w:r>
        <w:t>FY2017 受出售中国及香港业务、资产处置等项目影响；FY2022 受到俄罗斯退出及减值费用影响。FY2023–FY2025 经营利润率稳定在 45%上下，更接近当前经营结构。</w:t>
      </w:r>
    </w:p>
    <w:p w14:paraId="4CCEA9FF" w14:textId="1922B24D" w:rsidR="00144C73" w:rsidRPr="00276CB6" w:rsidRDefault="0045191A" w:rsidP="0045191A">
      <w:pPr>
        <w:rPr>
          <w:b/>
          <w:bCs/>
        </w:rPr>
      </w:pPr>
      <w:r w:rsidRPr="00276CB6">
        <w:rPr>
          <w:b/>
          <w:bCs/>
        </w:rPr>
        <w:t>FY2025 的利润增长仍高于收入增长。</w:t>
      </w:r>
      <w:r>
        <w:t>收入增长 3.7%，经营利润增长 5.8%，净利润增长 4.1%，说明加盟结构和费用控制仍提供一定经营杠杆，但增量已经不再来自收入高速扩张。</w:t>
      </w:r>
    </w:p>
    <w:p w14:paraId="2F5C8044" w14:textId="77777777" w:rsidR="00144C73" w:rsidRPr="000655A0" w:rsidRDefault="00144C73" w:rsidP="00144C73"/>
    <w:p w14:paraId="5ABA40EA" w14:textId="416E791D" w:rsidR="00662ED2" w:rsidRDefault="00662ED2" w:rsidP="00662ED2">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38</w:t>
      </w:r>
      <w:r w:rsidR="00CC796E">
        <w:fldChar w:fldCharType="end"/>
      </w:r>
      <w:r>
        <w:rPr>
          <w:rFonts w:hint="eastAsia"/>
        </w:rPr>
        <w:t>：利润率</w:t>
      </w:r>
      <w:r w:rsidR="00414882">
        <w:rPr>
          <w:rFonts w:hint="eastAsia"/>
        </w:rPr>
        <w:t>与资本效率</w:t>
      </w:r>
    </w:p>
    <w:p w14:paraId="0AB1885F" w14:textId="36ABAB29" w:rsidR="00144C73" w:rsidRPr="00776F99" w:rsidRDefault="00662ED2" w:rsidP="00144C73">
      <w:r w:rsidRPr="00662ED2">
        <w:rPr>
          <w:noProof/>
        </w:rPr>
        <w:drawing>
          <wp:inline distT="0" distB="0" distL="0" distR="0" wp14:anchorId="72D20D19" wp14:editId="0F17F0B7">
            <wp:extent cx="6645910" cy="885825"/>
            <wp:effectExtent l="0" t="0" r="0" b="3175"/>
            <wp:docPr id="933166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66132" name=""/>
                    <pic:cNvPicPr/>
                  </pic:nvPicPr>
                  <pic:blipFill>
                    <a:blip r:embed="rId56"/>
                    <a:stretch>
                      <a:fillRect/>
                    </a:stretch>
                  </pic:blipFill>
                  <pic:spPr>
                    <a:xfrm>
                      <a:off x="0" y="0"/>
                      <a:ext cx="6645910" cy="885825"/>
                    </a:xfrm>
                    <a:prstGeom prst="rect">
                      <a:avLst/>
                    </a:prstGeom>
                  </pic:spPr>
                </pic:pic>
              </a:graphicData>
            </a:graphic>
          </wp:inline>
        </w:drawing>
      </w:r>
    </w:p>
    <w:p w14:paraId="55AD67B0" w14:textId="77777777" w:rsidR="00662ED2" w:rsidRDefault="00662ED2" w:rsidP="00662ED2">
      <w:r>
        <w:t>利润率从 FY2019 至 FY2025 明显改善，但资产周转率没有恢复到早期水平，ROIC 也低于 FY2019。原因是：</w:t>
      </w:r>
    </w:p>
    <w:p w14:paraId="786F9FD4" w14:textId="669F264B" w:rsidR="00662ED2" w:rsidRDefault="00662ED2">
      <w:pPr>
        <w:pStyle w:val="a9"/>
        <w:numPr>
          <w:ilvl w:val="1"/>
          <w:numId w:val="36"/>
        </w:numPr>
      </w:pPr>
      <w:r>
        <w:t>FY2019 后确认了约 130–150 亿美元租赁使用权资产；</w:t>
      </w:r>
    </w:p>
    <w:p w14:paraId="6D53807F" w14:textId="34C5015C" w:rsidR="00662ED2" w:rsidRDefault="00662ED2">
      <w:pPr>
        <w:pStyle w:val="a9"/>
        <w:numPr>
          <w:ilvl w:val="1"/>
          <w:numId w:val="36"/>
        </w:numPr>
      </w:pPr>
      <w:r>
        <w:t>净物业设备从 FY2019 的 242 亿美元升至 FY2025 的 282 亿美元；</w:t>
      </w:r>
    </w:p>
    <w:p w14:paraId="37758B56" w14:textId="04A9F7DB" w:rsidR="00662ED2" w:rsidRDefault="00662ED2">
      <w:pPr>
        <w:pStyle w:val="a9"/>
        <w:numPr>
          <w:ilvl w:val="1"/>
          <w:numId w:val="36"/>
        </w:numPr>
      </w:pPr>
      <w:r>
        <w:t>FY2024 取得股权法投资后，关联公司投资从 10.8 亿美元升至 27.1 亿美元；</w:t>
      </w:r>
    </w:p>
    <w:p w14:paraId="336F3E2E" w14:textId="1EA86B97" w:rsidR="00662ED2" w:rsidRDefault="00662ED2">
      <w:pPr>
        <w:pStyle w:val="a9"/>
        <w:numPr>
          <w:ilvl w:val="1"/>
          <w:numId w:val="36"/>
        </w:numPr>
      </w:pPr>
      <w:r>
        <w:t>FY2025 总投入资本约 530 亿美元，高于 FY2019 的 393 亿美元。</w:t>
      </w:r>
    </w:p>
    <w:p w14:paraId="57C96BEB" w14:textId="4DB13FAE" w:rsidR="00144C73" w:rsidRDefault="00662ED2" w:rsidP="00662ED2">
      <w:r>
        <w:t>因此，麦当劳当前的高利润率伴随着更大的资本基数，利润率改善并没有完全转化为资本回报改善。</w:t>
      </w:r>
    </w:p>
    <w:p w14:paraId="0EC9B570" w14:textId="77777777" w:rsidR="009657A9" w:rsidRDefault="009657A9" w:rsidP="00662ED2"/>
    <w:p w14:paraId="6912C044" w14:textId="2F47484A" w:rsidR="009657A9" w:rsidRPr="00A17D0F" w:rsidRDefault="00A17D0F" w:rsidP="00A17D0F">
      <w:pPr>
        <w:pStyle w:val="a9"/>
        <w:numPr>
          <w:ilvl w:val="0"/>
          <w:numId w:val="61"/>
        </w:numPr>
        <w:rPr>
          <w:b/>
          <w:bCs/>
        </w:rPr>
      </w:pPr>
      <w:r w:rsidRPr="00A17D0F">
        <w:rPr>
          <w:b/>
          <w:bCs/>
        </w:rPr>
        <w:t>关联公司业务</w:t>
      </w:r>
    </w:p>
    <w:p w14:paraId="784F2751" w14:textId="32125E33" w:rsidR="009657A9" w:rsidRDefault="004A049B" w:rsidP="00662ED2">
      <w:r>
        <w:rPr>
          <w:rFonts w:hint="eastAsia"/>
        </w:rPr>
        <w:t>关联公司按持股比例确认净利润，计入</w:t>
      </w:r>
      <w:r w:rsidRPr="004A049B">
        <w:t xml:space="preserve">Equity in earnings of unconsolidated affiliates，归入Other operating </w:t>
      </w:r>
      <w:r w:rsidRPr="004A049B">
        <w:lastRenderedPageBreak/>
        <w:t>(income) expense, net</w:t>
      </w:r>
      <w:r>
        <w:rPr>
          <w:rFonts w:hint="eastAsia"/>
        </w:rPr>
        <w:t>。</w:t>
      </w:r>
      <w:r w:rsidR="00A01495">
        <w:rPr>
          <w:rFonts w:hint="eastAsia"/>
        </w:rPr>
        <w:t>麦当劳关联公司主要是：</w:t>
      </w:r>
    </w:p>
    <w:p w14:paraId="2CDBD03A" w14:textId="77777777" w:rsidR="00A01495" w:rsidRDefault="00A01495" w:rsidP="00A01495">
      <w:pPr>
        <w:pStyle w:val="a9"/>
        <w:numPr>
          <w:ilvl w:val="0"/>
          <w:numId w:val="62"/>
        </w:numPr>
      </w:pPr>
      <w:r>
        <w:t>中国内地、香港、澳门业务：麦当劳持股约48%，CITIC控制；</w:t>
      </w:r>
    </w:p>
    <w:p w14:paraId="7B215DB3" w14:textId="1DB71E18" w:rsidR="00A01495" w:rsidRDefault="00A01495" w:rsidP="00A01495">
      <w:pPr>
        <w:pStyle w:val="a9"/>
        <w:numPr>
          <w:ilvl w:val="0"/>
          <w:numId w:val="62"/>
        </w:numPr>
        <w:rPr>
          <w:rFonts w:hint="eastAsia"/>
        </w:rPr>
      </w:pPr>
      <w:r>
        <w:t>日本业务：麦当劳持股约35%，日本麦当劳为上市公司</w:t>
      </w:r>
      <w:r w:rsidR="005406A7">
        <w:rPr>
          <w:rFonts w:hint="eastAsia"/>
        </w:rPr>
        <w:t>。</w:t>
      </w:r>
    </w:p>
    <w:p w14:paraId="4297E312" w14:textId="77777777" w:rsidR="004A049B" w:rsidRDefault="004A049B" w:rsidP="00662ED2"/>
    <w:p w14:paraId="38DBFE95" w14:textId="11340CA0" w:rsidR="00CC796E" w:rsidRDefault="00CC796E" w:rsidP="00CC796E">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E3E55">
        <w:rPr>
          <w:noProof/>
        </w:rPr>
        <w:t>39</w:t>
      </w:r>
      <w:r>
        <w:fldChar w:fldCharType="end"/>
      </w:r>
      <w:r>
        <w:rPr>
          <w:rFonts w:hint="eastAsia"/>
        </w:rPr>
        <w:t>：历年权益法收益</w:t>
      </w:r>
    </w:p>
    <w:p w14:paraId="076CF166" w14:textId="77777777" w:rsidR="004A049B" w:rsidRDefault="00403F6C" w:rsidP="00662ED2">
      <w:r w:rsidRPr="00403F6C">
        <w:drawing>
          <wp:inline distT="0" distB="0" distL="0" distR="0" wp14:anchorId="5312E9A5" wp14:editId="69C53398">
            <wp:extent cx="5252936" cy="4266191"/>
            <wp:effectExtent l="0" t="0" r="5080" b="1270"/>
            <wp:docPr id="1901606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06635" name=""/>
                    <pic:cNvPicPr/>
                  </pic:nvPicPr>
                  <pic:blipFill>
                    <a:blip r:embed="rId57"/>
                    <a:stretch>
                      <a:fillRect/>
                    </a:stretch>
                  </pic:blipFill>
                  <pic:spPr>
                    <a:xfrm>
                      <a:off x="0" y="0"/>
                      <a:ext cx="5273958" cy="4283264"/>
                    </a:xfrm>
                    <a:prstGeom prst="rect">
                      <a:avLst/>
                    </a:prstGeom>
                  </pic:spPr>
                </pic:pic>
              </a:graphicData>
            </a:graphic>
          </wp:inline>
        </w:drawing>
      </w:r>
    </w:p>
    <w:p w14:paraId="49ECC660" w14:textId="122A63B2" w:rsidR="00442502" w:rsidRDefault="00202D5D" w:rsidP="00662ED2">
      <w:r w:rsidRPr="00202D5D">
        <w:t>FY2019—FY2025，权益法收益年均增长约3.6%，低于同期公司净利润约6.0%的增长。它是稳定的利润来源，但目前规模仍较小，不能单独解释麦当劳整体利润增长。</w:t>
      </w:r>
    </w:p>
    <w:p w14:paraId="2615F298" w14:textId="4C4D32BE" w:rsidR="008C7566" w:rsidRDefault="008C7566" w:rsidP="008C7566">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E3E55">
        <w:rPr>
          <w:noProof/>
        </w:rPr>
        <w:t>40</w:t>
      </w:r>
      <w:r>
        <w:fldChar w:fldCharType="end"/>
      </w:r>
      <w:r>
        <w:rPr>
          <w:rFonts w:hint="eastAsia"/>
        </w:rPr>
        <w:t>：近</w:t>
      </w:r>
      <w:r>
        <w:rPr>
          <w:rFonts w:hint="eastAsia"/>
        </w:rPr>
        <w:t>8</w:t>
      </w:r>
      <w:r>
        <w:rPr>
          <w:rFonts w:hint="eastAsia"/>
        </w:rPr>
        <w:t>个季度权益法收益</w:t>
      </w:r>
    </w:p>
    <w:p w14:paraId="11F940EE" w14:textId="38723F24" w:rsidR="00442502" w:rsidRDefault="008C7566" w:rsidP="00662ED2">
      <w:r w:rsidRPr="008C7566">
        <w:drawing>
          <wp:inline distT="0" distB="0" distL="0" distR="0" wp14:anchorId="11ED08AB" wp14:editId="28652235">
            <wp:extent cx="5086331" cy="2383276"/>
            <wp:effectExtent l="0" t="0" r="0" b="4445"/>
            <wp:docPr id="584606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06524" name=""/>
                    <pic:cNvPicPr/>
                  </pic:nvPicPr>
                  <pic:blipFill>
                    <a:blip r:embed="rId58"/>
                    <a:stretch>
                      <a:fillRect/>
                    </a:stretch>
                  </pic:blipFill>
                  <pic:spPr>
                    <a:xfrm>
                      <a:off x="0" y="0"/>
                      <a:ext cx="5117543" cy="2397901"/>
                    </a:xfrm>
                    <a:prstGeom prst="rect">
                      <a:avLst/>
                    </a:prstGeom>
                  </pic:spPr>
                </pic:pic>
              </a:graphicData>
            </a:graphic>
          </wp:inline>
        </w:drawing>
      </w:r>
    </w:p>
    <w:p w14:paraId="125C4BC1" w14:textId="77777777" w:rsidR="00775EB6" w:rsidRDefault="00775EB6" w:rsidP="00775EB6">
      <w:r>
        <w:lastRenderedPageBreak/>
        <w:t>2026Q2 TTM权益法收益约1.95亿美元，较FY2025的1.90亿美元仅增加约2.6%。2026年上半年，中国、日本主要权益法投资的权益收益为98百万美元，较2025年上半年的94百万美元增长约4.3%。</w:t>
      </w:r>
    </w:p>
    <w:p w14:paraId="79D2EC4C" w14:textId="77777777" w:rsidR="00775EB6" w:rsidRDefault="00775EB6" w:rsidP="00775EB6">
      <w:r>
        <w:t>因此，近期关联公司业务的特征是：收益仍在增长，但并未出现与IDL门店扩张相匹配的高速增长。</w:t>
      </w:r>
    </w:p>
    <w:p w14:paraId="2BC020DD" w14:textId="77777777" w:rsidR="00775EB6" w:rsidRDefault="00775EB6" w:rsidP="00775EB6">
      <w:r>
        <w:t>公司披露的经营代理指标也体现出明显分化：</w:t>
      </w:r>
    </w:p>
    <w:p w14:paraId="04B97E81" w14:textId="29EC513F" w:rsidR="00775EB6" w:rsidRDefault="00775EB6">
      <w:pPr>
        <w:pStyle w:val="a9"/>
        <w:numPr>
          <w:ilvl w:val="1"/>
          <w:numId w:val="63"/>
        </w:numPr>
      </w:pPr>
      <w:r>
        <w:t>FY2025 IDL可比销售增长4.6%，主要由日本带动；</w:t>
      </w:r>
    </w:p>
    <w:p w14:paraId="5B36C186" w14:textId="3C54333D" w:rsidR="00775EB6" w:rsidRDefault="00775EB6">
      <w:pPr>
        <w:pStyle w:val="a9"/>
        <w:numPr>
          <w:ilvl w:val="1"/>
          <w:numId w:val="63"/>
        </w:numPr>
      </w:pPr>
      <w:r>
        <w:t>2026Q2 IDL可比销售增长1.9%，日本继续为主要正向贡献，中国可比销售为负；</w:t>
      </w:r>
    </w:p>
    <w:p w14:paraId="0E2727F6" w14:textId="5C1C703A" w:rsidR="00442502" w:rsidRDefault="00775EB6">
      <w:pPr>
        <w:pStyle w:val="a9"/>
        <w:numPr>
          <w:ilvl w:val="1"/>
          <w:numId w:val="63"/>
        </w:numPr>
      </w:pPr>
      <w:r>
        <w:t>中国仍保持较快开店计划，但开店数量增长尚未完全转化为同店销售和权益法收益增长。</w:t>
      </w:r>
    </w:p>
    <w:p w14:paraId="2492EC08" w14:textId="5B31DB32" w:rsidR="00EC461B" w:rsidRDefault="00EC461B" w:rsidP="00EC461B">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E3E55">
        <w:rPr>
          <w:noProof/>
        </w:rPr>
        <w:t>41</w:t>
      </w:r>
      <w:r>
        <w:fldChar w:fldCharType="end"/>
      </w:r>
      <w:r>
        <w:rPr>
          <w:rFonts w:hint="eastAsia"/>
        </w:rPr>
        <w:t>：中国和日本关联公司价值</w:t>
      </w:r>
    </w:p>
    <w:p w14:paraId="612EA8A0" w14:textId="215E9B71" w:rsidR="00775EB6" w:rsidRDefault="00EC461B" w:rsidP="00775EB6">
      <w:r w:rsidRPr="00EC461B">
        <w:drawing>
          <wp:inline distT="0" distB="0" distL="0" distR="0" wp14:anchorId="457DF007" wp14:editId="791878DA">
            <wp:extent cx="6645910" cy="1597660"/>
            <wp:effectExtent l="0" t="0" r="0" b="2540"/>
            <wp:docPr id="356987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87354" name=""/>
                    <pic:cNvPicPr/>
                  </pic:nvPicPr>
                  <pic:blipFill>
                    <a:blip r:embed="rId59"/>
                    <a:stretch>
                      <a:fillRect/>
                    </a:stretch>
                  </pic:blipFill>
                  <pic:spPr>
                    <a:xfrm>
                      <a:off x="0" y="0"/>
                      <a:ext cx="6645910" cy="1597660"/>
                    </a:xfrm>
                    <a:prstGeom prst="rect">
                      <a:avLst/>
                    </a:prstGeom>
                  </pic:spPr>
                </pic:pic>
              </a:graphicData>
            </a:graphic>
          </wp:inline>
        </w:drawing>
      </w:r>
    </w:p>
    <w:p w14:paraId="08742E8D" w14:textId="44C05152" w:rsidR="00775EB6" w:rsidRDefault="008B74FB" w:rsidP="00775EB6">
      <w:r w:rsidRPr="008B74FB">
        <w:drawing>
          <wp:inline distT="0" distB="0" distL="0" distR="0" wp14:anchorId="20FCA250" wp14:editId="4E17C3FA">
            <wp:extent cx="6645910" cy="1717040"/>
            <wp:effectExtent l="0" t="0" r="0" b="0"/>
            <wp:docPr id="172764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4658" name=""/>
                    <pic:cNvPicPr/>
                  </pic:nvPicPr>
                  <pic:blipFill>
                    <a:blip r:embed="rId60"/>
                    <a:stretch>
                      <a:fillRect/>
                    </a:stretch>
                  </pic:blipFill>
                  <pic:spPr>
                    <a:xfrm>
                      <a:off x="0" y="0"/>
                      <a:ext cx="6645910" cy="1717040"/>
                    </a:xfrm>
                    <a:prstGeom prst="rect">
                      <a:avLst/>
                    </a:prstGeom>
                  </pic:spPr>
                </pic:pic>
              </a:graphicData>
            </a:graphic>
          </wp:inline>
        </w:drawing>
      </w:r>
    </w:p>
    <w:p w14:paraId="43B07E6C" w14:textId="0891677D" w:rsidR="00917D9B" w:rsidRDefault="00917D9B" w:rsidP="00917D9B">
      <w:pPr>
        <w:rPr>
          <w:rFonts w:hint="eastAsia"/>
        </w:rPr>
      </w:pPr>
      <w:r w:rsidRPr="00917D9B">
        <w:t>权益法收益是麦当劳按持股比例确认的当地净利润，确认时不要求当地公司同步支付现金。实际现金回报取决于关联公司分红，因此</w:t>
      </w:r>
      <w:r>
        <w:t xml:space="preserve">权益法收益 </w:t>
      </w:r>
      <w:r>
        <w:rPr>
          <w:rFonts w:hint="eastAsia"/>
        </w:rPr>
        <w:t xml:space="preserve">≠ </w:t>
      </w:r>
      <w:r>
        <w:t>当期现金流</w:t>
      </w:r>
      <w:r>
        <w:rPr>
          <w:rFonts w:hint="eastAsia"/>
        </w:rPr>
        <w:t>。</w:t>
      </w:r>
    </w:p>
    <w:p w14:paraId="362371B1" w14:textId="13CF1BA0" w:rsidR="00775EB6" w:rsidRDefault="00775EB6" w:rsidP="00917D9B">
      <w:pPr>
        <w:rPr>
          <w:rFonts w:hint="eastAsia"/>
        </w:rPr>
      </w:pPr>
    </w:p>
    <w:p w14:paraId="2E6609C3" w14:textId="77777777" w:rsidR="00FB2D6A" w:rsidRDefault="00FB2D6A" w:rsidP="00FB2D6A">
      <w:r>
        <w:rPr>
          <w:rFonts w:hint="eastAsia"/>
        </w:rPr>
        <w:t>因此，</w:t>
      </w:r>
      <w:r>
        <w:t>关联公司业务对麦当劳的价值包括三部分：</w:t>
      </w:r>
    </w:p>
    <w:p w14:paraId="1B914985" w14:textId="0A5DE8D6" w:rsidR="00FB2D6A" w:rsidRDefault="00FB2D6A">
      <w:pPr>
        <w:pStyle w:val="a9"/>
        <w:numPr>
          <w:ilvl w:val="0"/>
          <w:numId w:val="64"/>
        </w:numPr>
      </w:pPr>
      <w:r>
        <w:t>中国、日本餐厅网络产生的持续royalty；</w:t>
      </w:r>
    </w:p>
    <w:p w14:paraId="2FBE3854" w14:textId="52E0125A" w:rsidR="00FB2D6A" w:rsidRDefault="00FB2D6A">
      <w:pPr>
        <w:pStyle w:val="a9"/>
        <w:numPr>
          <w:ilvl w:val="0"/>
          <w:numId w:val="64"/>
        </w:numPr>
      </w:pPr>
      <w:r>
        <w:t>麦当劳按持股比例确认的权益法收益；</w:t>
      </w:r>
    </w:p>
    <w:p w14:paraId="4C9307BB" w14:textId="044BB0F9" w:rsidR="00775EB6" w:rsidRPr="006B1352" w:rsidRDefault="00FB2D6A">
      <w:pPr>
        <w:pStyle w:val="a9"/>
        <w:numPr>
          <w:ilvl w:val="0"/>
          <w:numId w:val="64"/>
        </w:numPr>
        <w:rPr>
          <w:rFonts w:hint="eastAsia"/>
        </w:rPr>
      </w:pPr>
      <w:r>
        <w:t>中国、日本股权本身的长期资产价值。</w:t>
      </w:r>
    </w:p>
    <w:p w14:paraId="5E8E19A5" w14:textId="77777777" w:rsidR="009657A9" w:rsidRPr="009657A9" w:rsidRDefault="009657A9" w:rsidP="00662ED2">
      <w:pPr>
        <w:rPr>
          <w:rFonts w:hint="eastAsia"/>
        </w:rPr>
      </w:pPr>
    </w:p>
    <w:p w14:paraId="2D1483A7" w14:textId="0C0F353B" w:rsidR="001F2093" w:rsidRDefault="00783ED7" w:rsidP="008013BE">
      <w:pPr>
        <w:pStyle w:val="3"/>
      </w:pPr>
      <w:r>
        <w:rPr>
          <w:rFonts w:hint="eastAsia"/>
        </w:rPr>
        <w:t>资产负债</w:t>
      </w:r>
    </w:p>
    <w:p w14:paraId="720E7256" w14:textId="7EFD4ADA" w:rsidR="005807FC" w:rsidRPr="005807FC" w:rsidRDefault="005807FC">
      <w:pPr>
        <w:pStyle w:val="a9"/>
        <w:numPr>
          <w:ilvl w:val="0"/>
          <w:numId w:val="19"/>
        </w:numPr>
        <w:rPr>
          <w:b/>
          <w:bCs/>
        </w:rPr>
      </w:pPr>
      <w:r w:rsidRPr="005807FC">
        <w:rPr>
          <w:rFonts w:hint="eastAsia"/>
          <w:b/>
          <w:bCs/>
        </w:rPr>
        <w:t>资产</w:t>
      </w:r>
    </w:p>
    <w:p w14:paraId="7634396E" w14:textId="796D52CD" w:rsidR="00B238C1" w:rsidRDefault="00B238C1" w:rsidP="00144C73">
      <w:r w:rsidRPr="00B238C1">
        <w:rPr>
          <w:noProof/>
        </w:rPr>
        <w:lastRenderedPageBreak/>
        <w:drawing>
          <wp:inline distT="0" distB="0" distL="0" distR="0" wp14:anchorId="1DBBB30B" wp14:editId="6CF9901E">
            <wp:extent cx="6645910" cy="1793240"/>
            <wp:effectExtent l="0" t="0" r="0" b="0"/>
            <wp:docPr id="1173744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44297" name=""/>
                    <pic:cNvPicPr/>
                  </pic:nvPicPr>
                  <pic:blipFill>
                    <a:blip r:embed="rId61"/>
                    <a:stretch>
                      <a:fillRect/>
                    </a:stretch>
                  </pic:blipFill>
                  <pic:spPr>
                    <a:xfrm>
                      <a:off x="0" y="0"/>
                      <a:ext cx="6645910" cy="1793240"/>
                    </a:xfrm>
                    <a:prstGeom prst="rect">
                      <a:avLst/>
                    </a:prstGeom>
                  </pic:spPr>
                </pic:pic>
              </a:graphicData>
            </a:graphic>
          </wp:inline>
        </w:drawing>
      </w:r>
    </w:p>
    <w:p w14:paraId="1ED9DAC0" w14:textId="0D8092D8" w:rsidR="002F2BFF" w:rsidRDefault="002F2BFF" w:rsidP="002F2BFF">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42</w:t>
      </w:r>
      <w:r w:rsidR="00CC796E">
        <w:fldChar w:fldCharType="end"/>
      </w:r>
      <w:r>
        <w:rPr>
          <w:rFonts w:hint="eastAsia"/>
        </w:rPr>
        <w:t>：</w:t>
      </w:r>
      <w:r w:rsidRPr="0063168F">
        <w:t>Property and equipment</w:t>
      </w:r>
      <w:r w:rsidR="00E62FE8">
        <w:rPr>
          <w:rFonts w:hint="eastAsia"/>
        </w:rPr>
        <w:t xml:space="preserve"> Note</w:t>
      </w:r>
    </w:p>
    <w:p w14:paraId="37FB2FCF" w14:textId="52C15707" w:rsidR="00496E07" w:rsidRDefault="00496E07" w:rsidP="00144C73">
      <w:r w:rsidRPr="00496E07">
        <w:rPr>
          <w:noProof/>
        </w:rPr>
        <w:drawing>
          <wp:inline distT="0" distB="0" distL="0" distR="0" wp14:anchorId="5E347CBC" wp14:editId="7A06EE67">
            <wp:extent cx="5305330" cy="2464094"/>
            <wp:effectExtent l="0" t="0" r="3810" b="0"/>
            <wp:docPr id="467585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85896" name=""/>
                    <pic:cNvPicPr/>
                  </pic:nvPicPr>
                  <pic:blipFill>
                    <a:blip r:embed="rId62"/>
                    <a:stretch>
                      <a:fillRect/>
                    </a:stretch>
                  </pic:blipFill>
                  <pic:spPr>
                    <a:xfrm>
                      <a:off x="0" y="0"/>
                      <a:ext cx="5329471" cy="2475306"/>
                    </a:xfrm>
                    <a:prstGeom prst="rect">
                      <a:avLst/>
                    </a:prstGeom>
                  </pic:spPr>
                </pic:pic>
              </a:graphicData>
            </a:graphic>
          </wp:inline>
        </w:drawing>
      </w:r>
    </w:p>
    <w:p w14:paraId="10203A24" w14:textId="3F633EA3" w:rsidR="005824B9" w:rsidRDefault="005824B9" w:rsidP="00144C73">
      <w:r w:rsidRPr="00E46CF8">
        <w:t>麦当劳没有传统意义上的“工厂”。Property and equipment 主要是餐厅、土地、建筑、装修和设备。</w:t>
      </w:r>
    </w:p>
    <w:p w14:paraId="78F68AD5" w14:textId="29E25DDB" w:rsidR="004556A3" w:rsidRDefault="004556A3" w:rsidP="004556A3">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43</w:t>
      </w:r>
      <w:r w:rsidR="00CC796E">
        <w:fldChar w:fldCharType="end"/>
      </w:r>
      <w:r>
        <w:rPr>
          <w:rFonts w:hint="eastAsia"/>
        </w:rPr>
        <w:t>：</w:t>
      </w:r>
      <w:r w:rsidR="001F7DEE">
        <w:rPr>
          <w:rFonts w:hint="eastAsia"/>
        </w:rPr>
        <w:t>物业设备（固定资产）</w:t>
      </w:r>
      <w:r>
        <w:rPr>
          <w:rFonts w:hint="eastAsia"/>
        </w:rPr>
        <w:t>结构</w:t>
      </w:r>
    </w:p>
    <w:p w14:paraId="3AD2AB6E" w14:textId="58DEED68" w:rsidR="005919B7" w:rsidRDefault="004556A3" w:rsidP="00144C73">
      <w:r w:rsidRPr="004556A3">
        <w:rPr>
          <w:noProof/>
        </w:rPr>
        <w:drawing>
          <wp:inline distT="0" distB="0" distL="0" distR="0" wp14:anchorId="7B468A0A" wp14:editId="67F27BA0">
            <wp:extent cx="6645910" cy="1804670"/>
            <wp:effectExtent l="0" t="0" r="0" b="0"/>
            <wp:docPr id="1153069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69651" name=""/>
                    <pic:cNvPicPr/>
                  </pic:nvPicPr>
                  <pic:blipFill>
                    <a:blip r:embed="rId63"/>
                    <a:stretch>
                      <a:fillRect/>
                    </a:stretch>
                  </pic:blipFill>
                  <pic:spPr>
                    <a:xfrm>
                      <a:off x="0" y="0"/>
                      <a:ext cx="6645910" cy="1804670"/>
                    </a:xfrm>
                    <a:prstGeom prst="rect">
                      <a:avLst/>
                    </a:prstGeom>
                  </pic:spPr>
                </pic:pic>
              </a:graphicData>
            </a:graphic>
          </wp:inline>
        </w:drawing>
      </w:r>
    </w:p>
    <w:p w14:paraId="4287B5E8" w14:textId="28DA7DA6" w:rsidR="00745903" w:rsidRDefault="00745903" w:rsidP="00745903">
      <w:pPr>
        <w:pStyle w:val="ae"/>
        <w:keepNext/>
      </w:pPr>
      <w:r>
        <w:lastRenderedPageBreak/>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44</w:t>
      </w:r>
      <w:r w:rsidR="00CC796E">
        <w:fldChar w:fldCharType="end"/>
      </w:r>
      <w:r>
        <w:rPr>
          <w:rFonts w:hint="eastAsia"/>
        </w:rPr>
        <w:t>：</w:t>
      </w:r>
      <w:r>
        <w:rPr>
          <w:rFonts w:hint="eastAsia"/>
        </w:rPr>
        <w:t>FY2025</w:t>
      </w:r>
      <w:r w:rsidR="006935F5">
        <w:rPr>
          <w:rFonts w:hint="eastAsia"/>
        </w:rPr>
        <w:t>物业设备</w:t>
      </w:r>
      <w:r>
        <w:rPr>
          <w:rFonts w:hint="eastAsia"/>
        </w:rPr>
        <w:t>原始成本</w:t>
      </w:r>
    </w:p>
    <w:p w14:paraId="13895183" w14:textId="758EC285" w:rsidR="00B238C1" w:rsidRDefault="00745903" w:rsidP="00144C73">
      <w:r w:rsidRPr="00745903">
        <w:rPr>
          <w:noProof/>
        </w:rPr>
        <w:drawing>
          <wp:inline distT="0" distB="0" distL="0" distR="0" wp14:anchorId="00C964C7" wp14:editId="3A9C8767">
            <wp:extent cx="5748950" cy="2115346"/>
            <wp:effectExtent l="0" t="0" r="4445" b="5715"/>
            <wp:docPr id="331170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70619" name=""/>
                    <pic:cNvPicPr/>
                  </pic:nvPicPr>
                  <pic:blipFill>
                    <a:blip r:embed="rId64"/>
                    <a:stretch>
                      <a:fillRect/>
                    </a:stretch>
                  </pic:blipFill>
                  <pic:spPr>
                    <a:xfrm>
                      <a:off x="0" y="0"/>
                      <a:ext cx="5770196" cy="2123164"/>
                    </a:xfrm>
                    <a:prstGeom prst="rect">
                      <a:avLst/>
                    </a:prstGeom>
                  </pic:spPr>
                </pic:pic>
              </a:graphicData>
            </a:graphic>
          </wp:inline>
        </w:drawing>
      </w:r>
    </w:p>
    <w:p w14:paraId="43B6D07D" w14:textId="26C6E4E5" w:rsidR="0099160D" w:rsidRDefault="00783ED7" w:rsidP="00144C73">
      <w:r w:rsidRPr="00783ED7">
        <w:t>设备只占原始固定资产成本约 6%，真正占用资本的是土地、餐厅建筑和长期装修。</w:t>
      </w:r>
    </w:p>
    <w:p w14:paraId="1506594C" w14:textId="4BCB6709" w:rsidR="005824B9" w:rsidRDefault="005824B9" w:rsidP="005824B9">
      <w:r>
        <w:t>同一家餐厅可能同时存在两项资产：</w:t>
      </w:r>
    </w:p>
    <w:p w14:paraId="2F9C7AC6" w14:textId="77777777" w:rsidR="005824B9" w:rsidRDefault="005824B9">
      <w:pPr>
        <w:pStyle w:val="a9"/>
        <w:numPr>
          <w:ilvl w:val="0"/>
          <w:numId w:val="39"/>
        </w:numPr>
      </w:pPr>
      <w:r>
        <w:t>麦当劳租了一块地：确认 ROU asset；</w:t>
      </w:r>
    </w:p>
    <w:p w14:paraId="211EC052" w14:textId="77777777" w:rsidR="005824B9" w:rsidRDefault="005824B9">
      <w:pPr>
        <w:pStyle w:val="a9"/>
        <w:numPr>
          <w:ilvl w:val="0"/>
          <w:numId w:val="39"/>
        </w:numPr>
      </w:pPr>
      <w:r>
        <w:t>麦当劳在这块地上建了餐厅或进行了装修：确认 Buildings and improvements on leased land。</w:t>
      </w:r>
    </w:p>
    <w:p w14:paraId="76570C6E" w14:textId="5FA63EB1" w:rsidR="001343C8" w:rsidRDefault="005824B9" w:rsidP="00144C73">
      <w:r w:rsidRPr="00F709D1">
        <w:t>Lease right-of-use asset, net</w:t>
      </w:r>
      <w:r>
        <w:rPr>
          <w:rFonts w:hint="eastAsia"/>
        </w:rPr>
        <w:t>（ROU asset）</w:t>
      </w:r>
      <w:r w:rsidRPr="00F709D1">
        <w:rPr>
          <w:rFonts w:hint="eastAsia"/>
        </w:rPr>
        <w:t xml:space="preserve"> </w:t>
      </w:r>
      <w:r w:rsidRPr="00F709D1">
        <w:t>则是另一类资产，不能再算入上述固定资产。它代表麦当劳根据租赁合同取得的“使用某块土地、建筑或场所的权利”，不是土地所有权。</w:t>
      </w:r>
      <w:r w:rsidRPr="008013BE">
        <w:t>FY2025 租赁使用权资产为 146.1亿美元，约相当于净固定资产的 51.7%。因此，麦当劳名义上是加盟为主，但合并资产负债表仍然承载大量物业和租赁资产。</w:t>
      </w:r>
    </w:p>
    <w:p w14:paraId="781D79F9" w14:textId="7D0E8D9B" w:rsidR="001343C8" w:rsidRDefault="001343C8" w:rsidP="001343C8">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45</w:t>
      </w:r>
      <w:r w:rsidR="00CC796E">
        <w:fldChar w:fldCharType="end"/>
      </w:r>
      <w:r>
        <w:rPr>
          <w:rFonts w:hint="eastAsia"/>
        </w:rPr>
        <w:t>：资产结构</w:t>
      </w:r>
    </w:p>
    <w:p w14:paraId="1DDD4A02" w14:textId="77777777" w:rsidR="001343C8" w:rsidRDefault="001343C8" w:rsidP="001343C8">
      <w:r w:rsidRPr="00DE10EC">
        <w:rPr>
          <w:noProof/>
        </w:rPr>
        <w:drawing>
          <wp:inline distT="0" distB="0" distL="0" distR="0" wp14:anchorId="5D1EDE45" wp14:editId="0441F21C">
            <wp:extent cx="6645910" cy="1449705"/>
            <wp:effectExtent l="0" t="0" r="0" b="0"/>
            <wp:docPr id="1613429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29575" name=""/>
                    <pic:cNvPicPr/>
                  </pic:nvPicPr>
                  <pic:blipFill>
                    <a:blip r:embed="rId65"/>
                    <a:stretch>
                      <a:fillRect/>
                    </a:stretch>
                  </pic:blipFill>
                  <pic:spPr>
                    <a:xfrm>
                      <a:off x="0" y="0"/>
                      <a:ext cx="6645910" cy="1449705"/>
                    </a:xfrm>
                    <a:prstGeom prst="rect">
                      <a:avLst/>
                    </a:prstGeom>
                  </pic:spPr>
                </pic:pic>
              </a:graphicData>
            </a:graphic>
          </wp:inline>
        </w:drawing>
      </w:r>
    </w:p>
    <w:p w14:paraId="4D6CEEA4" w14:textId="77777777" w:rsidR="001343C8" w:rsidRDefault="001343C8" w:rsidP="001343C8">
      <w:r>
        <w:t>FY2025 资产结构约为：</w:t>
      </w:r>
    </w:p>
    <w:p w14:paraId="670BE118" w14:textId="77777777" w:rsidR="001343C8" w:rsidRDefault="001343C8">
      <w:pPr>
        <w:pStyle w:val="a9"/>
        <w:numPr>
          <w:ilvl w:val="1"/>
          <w:numId w:val="37"/>
        </w:numPr>
      </w:pPr>
      <w:r>
        <w:t>净物业设备：47.5%</w:t>
      </w:r>
    </w:p>
    <w:p w14:paraId="4DC7358D" w14:textId="77777777" w:rsidR="001343C8" w:rsidRDefault="001343C8">
      <w:pPr>
        <w:pStyle w:val="a9"/>
        <w:numPr>
          <w:ilvl w:val="1"/>
          <w:numId w:val="37"/>
        </w:numPr>
      </w:pPr>
      <w:r>
        <w:t>租赁使用权资产：24.5%</w:t>
      </w:r>
    </w:p>
    <w:p w14:paraId="6E5E4846" w14:textId="77777777" w:rsidR="001343C8" w:rsidRDefault="001343C8">
      <w:pPr>
        <w:pStyle w:val="a9"/>
        <w:numPr>
          <w:ilvl w:val="1"/>
          <w:numId w:val="37"/>
        </w:numPr>
      </w:pPr>
      <w:r>
        <w:t>其他非流动资产：21.0%</w:t>
      </w:r>
    </w:p>
    <w:p w14:paraId="32078E68" w14:textId="77777777" w:rsidR="001343C8" w:rsidRDefault="001343C8">
      <w:pPr>
        <w:pStyle w:val="a9"/>
        <w:numPr>
          <w:ilvl w:val="1"/>
          <w:numId w:val="37"/>
        </w:numPr>
      </w:pPr>
      <w:r>
        <w:t>运营流动资产：5.7%</w:t>
      </w:r>
    </w:p>
    <w:p w14:paraId="66EEF1B0" w14:textId="77777777" w:rsidR="001343C8" w:rsidRDefault="001343C8">
      <w:pPr>
        <w:pStyle w:val="a9"/>
        <w:numPr>
          <w:ilvl w:val="1"/>
          <w:numId w:val="37"/>
        </w:numPr>
      </w:pPr>
      <w:r>
        <w:t>现金：1.3%</w:t>
      </w:r>
    </w:p>
    <w:p w14:paraId="77BAD8D5" w14:textId="77777777" w:rsidR="001343C8" w:rsidRDefault="001343C8" w:rsidP="001343C8">
      <w:r>
        <w:t>这说明麦当劳虽然收入端越来越轻资产，但合并资产负债表并不是轻资产结构。其资本占用主要来自：</w:t>
      </w:r>
    </w:p>
    <w:p w14:paraId="561D52CC" w14:textId="77777777" w:rsidR="001343C8" w:rsidRDefault="001343C8">
      <w:pPr>
        <w:pStyle w:val="a9"/>
        <w:numPr>
          <w:ilvl w:val="0"/>
          <w:numId w:val="38"/>
        </w:numPr>
      </w:pPr>
      <w:r>
        <w:t>直营餐厅和物业设备；</w:t>
      </w:r>
    </w:p>
    <w:p w14:paraId="3DFE39D8" w14:textId="77777777" w:rsidR="001343C8" w:rsidRDefault="001343C8">
      <w:pPr>
        <w:pStyle w:val="a9"/>
        <w:numPr>
          <w:ilvl w:val="0"/>
          <w:numId w:val="38"/>
        </w:numPr>
      </w:pPr>
      <w:r>
        <w:t>为加盟体系提供的租赁物业；</w:t>
      </w:r>
    </w:p>
    <w:p w14:paraId="5CFDF639" w14:textId="77777777" w:rsidR="001343C8" w:rsidRDefault="001343C8">
      <w:pPr>
        <w:pStyle w:val="a9"/>
        <w:numPr>
          <w:ilvl w:val="0"/>
          <w:numId w:val="38"/>
        </w:numPr>
      </w:pPr>
      <w:r>
        <w:t>租赁使用权资产；</w:t>
      </w:r>
    </w:p>
    <w:p w14:paraId="15DBD1FC" w14:textId="77777777" w:rsidR="001343C8" w:rsidRDefault="001343C8">
      <w:pPr>
        <w:pStyle w:val="a9"/>
        <w:numPr>
          <w:ilvl w:val="0"/>
          <w:numId w:val="38"/>
        </w:numPr>
      </w:pPr>
      <w:r>
        <w:t>股权法投资、商誉及其他非流动资产。</w:t>
      </w:r>
    </w:p>
    <w:p w14:paraId="2D136BE4" w14:textId="77777777" w:rsidR="001343C8" w:rsidRDefault="001343C8" w:rsidP="001343C8">
      <w:r>
        <w:lastRenderedPageBreak/>
        <w:t>FY2024 其他非流动资产明显增加，主要与股权法投资增加约 18 亿美元有关；FY2025 净物业设备增加约 29 亿美元、租赁使用权资产增加约 13 亿美元，资产扩张重新加速。</w:t>
      </w:r>
    </w:p>
    <w:p w14:paraId="7346A464" w14:textId="77777777" w:rsidR="001343C8" w:rsidRDefault="001343C8" w:rsidP="00144C73"/>
    <w:p w14:paraId="71BF51B7" w14:textId="168C2005" w:rsidR="00C11D91" w:rsidRDefault="00C11D91" w:rsidP="00C11D91">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46</w:t>
      </w:r>
      <w:r w:rsidR="00CC796E">
        <w:fldChar w:fldCharType="end"/>
      </w:r>
      <w:r>
        <w:rPr>
          <w:rFonts w:hint="eastAsia"/>
        </w:rPr>
        <w:t>：使用权资产与租赁负债</w:t>
      </w:r>
    </w:p>
    <w:p w14:paraId="061FB758" w14:textId="3DBB9FDC" w:rsidR="001343C8" w:rsidRDefault="00641D43" w:rsidP="00144C73">
      <w:r w:rsidRPr="00641D43">
        <w:rPr>
          <w:noProof/>
        </w:rPr>
        <w:drawing>
          <wp:inline distT="0" distB="0" distL="0" distR="0" wp14:anchorId="61F09E34" wp14:editId="6B18F5E5">
            <wp:extent cx="6645910" cy="1165860"/>
            <wp:effectExtent l="0" t="0" r="0" b="2540"/>
            <wp:docPr id="874262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62797" name=""/>
                    <pic:cNvPicPr/>
                  </pic:nvPicPr>
                  <pic:blipFill>
                    <a:blip r:embed="rId66"/>
                    <a:stretch>
                      <a:fillRect/>
                    </a:stretch>
                  </pic:blipFill>
                  <pic:spPr>
                    <a:xfrm>
                      <a:off x="0" y="0"/>
                      <a:ext cx="6645910" cy="1165860"/>
                    </a:xfrm>
                    <a:prstGeom prst="rect">
                      <a:avLst/>
                    </a:prstGeom>
                  </pic:spPr>
                </pic:pic>
              </a:graphicData>
            </a:graphic>
          </wp:inline>
        </w:drawing>
      </w:r>
    </w:p>
    <w:p w14:paraId="0E9D7D0E" w14:textId="4BC0048A" w:rsidR="001343C8" w:rsidRDefault="003578DE" w:rsidP="00144C73">
      <w:r w:rsidRPr="003578DE">
        <w:t>FY2019 单独出现使用权资产和租赁负债，主要是 ASC 842 租赁会计准则实施后的确认变化，不代表麦当劳在 FY2019 突然新买了 130 多亿美元土地。</w:t>
      </w:r>
    </w:p>
    <w:p w14:paraId="5A70CD64" w14:textId="04CD9953" w:rsidR="00490664" w:rsidRDefault="00490664" w:rsidP="00490664">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47</w:t>
      </w:r>
      <w:r w:rsidR="00CC796E">
        <w:fldChar w:fldCharType="end"/>
      </w:r>
      <w:r>
        <w:rPr>
          <w:rFonts w:hint="eastAsia"/>
        </w:rPr>
        <w:t>：</w:t>
      </w:r>
      <w:r>
        <w:rPr>
          <w:rFonts w:hint="eastAsia"/>
        </w:rPr>
        <w:t>FY2025</w:t>
      </w:r>
      <w:r>
        <w:rPr>
          <w:rFonts w:hint="eastAsia"/>
        </w:rPr>
        <w:t>租赁</w:t>
      </w:r>
      <w:r>
        <w:rPr>
          <w:rFonts w:hint="eastAsia"/>
        </w:rPr>
        <w:t>Note</w:t>
      </w:r>
    </w:p>
    <w:p w14:paraId="6ADB02FE" w14:textId="5BC51495" w:rsidR="003578DE" w:rsidRDefault="00490664" w:rsidP="00144C73">
      <w:r w:rsidRPr="00490664">
        <w:rPr>
          <w:noProof/>
        </w:rPr>
        <w:drawing>
          <wp:inline distT="0" distB="0" distL="0" distR="0" wp14:anchorId="32B37378" wp14:editId="77495B74">
            <wp:extent cx="5341544" cy="2524806"/>
            <wp:effectExtent l="0" t="0" r="5715" b="2540"/>
            <wp:docPr id="7930321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32121" name=""/>
                    <pic:cNvPicPr/>
                  </pic:nvPicPr>
                  <pic:blipFill>
                    <a:blip r:embed="rId67"/>
                    <a:stretch>
                      <a:fillRect/>
                    </a:stretch>
                  </pic:blipFill>
                  <pic:spPr>
                    <a:xfrm>
                      <a:off x="0" y="0"/>
                      <a:ext cx="5360122" cy="2533587"/>
                    </a:xfrm>
                    <a:prstGeom prst="rect">
                      <a:avLst/>
                    </a:prstGeom>
                  </pic:spPr>
                </pic:pic>
              </a:graphicData>
            </a:graphic>
          </wp:inline>
        </w:drawing>
      </w:r>
    </w:p>
    <w:p w14:paraId="25329F3A" w14:textId="64AC1E18" w:rsidR="003578DE" w:rsidRDefault="00CD56F5" w:rsidP="00144C73">
      <w:r w:rsidRPr="00CD56F5">
        <w:t>这意味着账面租赁负债 148亿美元背后对应约 206亿美元的未来合同付款，约 58亿美元是尚未确认的未来利息。</w:t>
      </w:r>
    </w:p>
    <w:p w14:paraId="57C38AC9" w14:textId="77777777" w:rsidR="003578DE" w:rsidRDefault="003578DE" w:rsidP="00144C73"/>
    <w:p w14:paraId="14053128" w14:textId="634C6AD6" w:rsidR="00CE6009" w:rsidRDefault="00CE6009" w:rsidP="00CE6009">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48</w:t>
      </w:r>
      <w:r w:rsidR="00CC796E">
        <w:fldChar w:fldCharType="end"/>
      </w:r>
      <w:r>
        <w:rPr>
          <w:rFonts w:hint="eastAsia"/>
        </w:rPr>
        <w:t>：</w:t>
      </w:r>
      <w:r>
        <w:rPr>
          <w:rFonts w:hint="eastAsia"/>
        </w:rPr>
        <w:t>FY2025</w:t>
      </w:r>
      <w:r>
        <w:rPr>
          <w:rFonts w:hint="eastAsia"/>
        </w:rPr>
        <w:t>加盟商最低租金应收</w:t>
      </w:r>
      <w:r w:rsidR="00AF5DF4">
        <w:rPr>
          <w:rFonts w:hint="eastAsia"/>
        </w:rPr>
        <w:t>（百万美元）</w:t>
      </w:r>
    </w:p>
    <w:p w14:paraId="236175D2" w14:textId="1ABB61EC" w:rsidR="00CE6009" w:rsidRDefault="00CE6009" w:rsidP="00144C73">
      <w:r w:rsidRPr="00CE6009">
        <w:rPr>
          <w:noProof/>
        </w:rPr>
        <w:drawing>
          <wp:inline distT="0" distB="0" distL="0" distR="0" wp14:anchorId="21A86298" wp14:editId="6AF71B9F">
            <wp:extent cx="6645910" cy="1716405"/>
            <wp:effectExtent l="0" t="0" r="0" b="0"/>
            <wp:docPr id="453567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67086" name=""/>
                    <pic:cNvPicPr/>
                  </pic:nvPicPr>
                  <pic:blipFill>
                    <a:blip r:embed="rId68"/>
                    <a:stretch>
                      <a:fillRect/>
                    </a:stretch>
                  </pic:blipFill>
                  <pic:spPr>
                    <a:xfrm>
                      <a:off x="0" y="0"/>
                      <a:ext cx="6645910" cy="1716405"/>
                    </a:xfrm>
                    <a:prstGeom prst="rect">
                      <a:avLst/>
                    </a:prstGeom>
                  </pic:spPr>
                </pic:pic>
              </a:graphicData>
            </a:graphic>
          </wp:inline>
        </w:drawing>
      </w:r>
    </w:p>
    <w:p w14:paraId="662887FC" w14:textId="77777777" w:rsidR="009E6463" w:rsidRDefault="009E6463" w:rsidP="009E6463">
      <w:r>
        <w:t>FY2025 年报披露，现有加盟安排下：</w:t>
      </w:r>
    </w:p>
    <w:p w14:paraId="3BF5BF77" w14:textId="2397DD1F" w:rsidR="009E6463" w:rsidRDefault="009E6463">
      <w:pPr>
        <w:pStyle w:val="a9"/>
        <w:numPr>
          <w:ilvl w:val="0"/>
          <w:numId w:val="40"/>
        </w:numPr>
      </w:pPr>
      <w:r>
        <w:t>未来 12 个月，加盟商最低应支付租金 30.45 亿美元；</w:t>
      </w:r>
    </w:p>
    <w:p w14:paraId="10FBD02B" w14:textId="1D055482" w:rsidR="00CE6009" w:rsidRDefault="009E6463">
      <w:pPr>
        <w:pStyle w:val="a9"/>
        <w:numPr>
          <w:ilvl w:val="0"/>
          <w:numId w:val="40"/>
        </w:numPr>
      </w:pPr>
      <w:r>
        <w:lastRenderedPageBreak/>
        <w:t>全部剩余合同期内，最低应支付租金 314.51 亿美元。</w:t>
      </w:r>
    </w:p>
    <w:p w14:paraId="4F5B9AC7" w14:textId="7C825B88" w:rsidR="009E6463" w:rsidRDefault="00D864F5" w:rsidP="00144C73">
      <w:r w:rsidRPr="00D864F5">
        <w:rPr>
          <w:noProof/>
        </w:rPr>
        <w:drawing>
          <wp:inline distT="0" distB="0" distL="0" distR="0" wp14:anchorId="2FFE75EE" wp14:editId="610153C8">
            <wp:extent cx="6645910" cy="1697990"/>
            <wp:effectExtent l="0" t="0" r="0" b="3810"/>
            <wp:docPr id="1435114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14370" name=""/>
                    <pic:cNvPicPr/>
                  </pic:nvPicPr>
                  <pic:blipFill>
                    <a:blip r:embed="rId69"/>
                    <a:stretch>
                      <a:fillRect/>
                    </a:stretch>
                  </pic:blipFill>
                  <pic:spPr>
                    <a:xfrm>
                      <a:off x="0" y="0"/>
                      <a:ext cx="6645910" cy="1697990"/>
                    </a:xfrm>
                    <a:prstGeom prst="rect">
                      <a:avLst/>
                    </a:prstGeom>
                  </pic:spPr>
                </pic:pic>
              </a:graphicData>
            </a:graphic>
          </wp:inline>
        </w:drawing>
      </w:r>
    </w:p>
    <w:p w14:paraId="15988F32" w14:textId="77777777" w:rsidR="000F5448" w:rsidRDefault="000F5448" w:rsidP="000F5448">
      <w:r>
        <w:t>同一份年报披露，麦当劳作为承租人：</w:t>
      </w:r>
    </w:p>
    <w:p w14:paraId="18BA2132" w14:textId="2BC48189" w:rsidR="000F5448" w:rsidRDefault="000F5448">
      <w:pPr>
        <w:pStyle w:val="a9"/>
        <w:numPr>
          <w:ilvl w:val="1"/>
          <w:numId w:val="41"/>
        </w:numPr>
      </w:pPr>
      <w:r>
        <w:t>未来 12 个月需支付租赁付款 13.21 亿美元；</w:t>
      </w:r>
    </w:p>
    <w:p w14:paraId="26649CC1" w14:textId="4E4592A1" w:rsidR="009E6463" w:rsidRDefault="000F5448">
      <w:pPr>
        <w:pStyle w:val="a9"/>
        <w:numPr>
          <w:ilvl w:val="1"/>
          <w:numId w:val="41"/>
        </w:numPr>
      </w:pPr>
      <w:r>
        <w:t>全部剩余租赁合同需支付 206.26 亿美元。</w:t>
      </w:r>
    </w:p>
    <w:p w14:paraId="39A57BE7" w14:textId="31233B1F" w:rsidR="001A6842" w:rsidRDefault="0000483D" w:rsidP="00144C73">
      <w:r>
        <w:t>这反映麦当劳具有“先取得物业控制权，再通过加盟安排向加盟商收取租金”的模式。</w:t>
      </w:r>
      <w:r w:rsidR="0094129B" w:rsidRPr="0094129B">
        <w:t>麦当劳的物业安排能够形成较大的合同租金流入，且租金流入总额高于租赁付款总额，说明房地产和加盟模式之间存在租金价差。但这只是合同层面的毛覆盖关系，不能等同于租赁负债无风险或现金流完全安全。</w:t>
      </w:r>
    </w:p>
    <w:p w14:paraId="4D4E7456" w14:textId="77777777" w:rsidR="000F5448" w:rsidRDefault="000F5448" w:rsidP="00144C73"/>
    <w:p w14:paraId="40088908" w14:textId="0E37154D" w:rsidR="00916D18" w:rsidRDefault="00916D18" w:rsidP="00916D18">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49</w:t>
      </w:r>
      <w:r w:rsidR="00CC796E">
        <w:fldChar w:fldCharType="end"/>
      </w:r>
      <w:r>
        <w:rPr>
          <w:rFonts w:hint="eastAsia"/>
        </w:rPr>
        <w:t>：运营资本</w:t>
      </w:r>
    </w:p>
    <w:p w14:paraId="227DBF51" w14:textId="77777777" w:rsidR="00916D18" w:rsidRDefault="00916D18" w:rsidP="00916D18">
      <w:r w:rsidRPr="00B57601">
        <w:rPr>
          <w:noProof/>
        </w:rPr>
        <w:drawing>
          <wp:inline distT="0" distB="0" distL="0" distR="0" wp14:anchorId="6E93537B" wp14:editId="24F6815C">
            <wp:extent cx="6645910" cy="1136015"/>
            <wp:effectExtent l="0" t="0" r="0" b="0"/>
            <wp:docPr id="41675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5893" name=""/>
                    <pic:cNvPicPr/>
                  </pic:nvPicPr>
                  <pic:blipFill>
                    <a:blip r:embed="rId70"/>
                    <a:stretch>
                      <a:fillRect/>
                    </a:stretch>
                  </pic:blipFill>
                  <pic:spPr>
                    <a:xfrm>
                      <a:off x="0" y="0"/>
                      <a:ext cx="6645910" cy="1136015"/>
                    </a:xfrm>
                    <a:prstGeom prst="rect">
                      <a:avLst/>
                    </a:prstGeom>
                  </pic:spPr>
                </pic:pic>
              </a:graphicData>
            </a:graphic>
          </wp:inline>
        </w:drawing>
      </w:r>
    </w:p>
    <w:p w14:paraId="4D213DDF" w14:textId="77777777" w:rsidR="00916D18" w:rsidRDefault="00916D18" w:rsidP="00916D18">
      <w:r>
        <w:t>麦当劳的运营资本长期接近零或为负，说明经营不需要大量库存和应收账款投入。FY2025 净运营资本为负 2.78 亿美元，整体仍然有利于现金转换。</w:t>
      </w:r>
    </w:p>
    <w:p w14:paraId="0F4F7DBD" w14:textId="77777777" w:rsidR="00916D18" w:rsidRDefault="00916D18" w:rsidP="00916D18">
      <w:r>
        <w:t>但营运资本对单年 CFO 的影响并不稳定：</w:t>
      </w:r>
    </w:p>
    <w:p w14:paraId="77977A72" w14:textId="77777777" w:rsidR="00916D18" w:rsidRDefault="00916D18">
      <w:pPr>
        <w:pStyle w:val="a9"/>
        <w:numPr>
          <w:ilvl w:val="1"/>
          <w:numId w:val="37"/>
        </w:numPr>
      </w:pPr>
      <w:r>
        <w:t>FY2021 贡献 4.54 亿美元；</w:t>
      </w:r>
    </w:p>
    <w:p w14:paraId="09416FDD" w14:textId="77777777" w:rsidR="00916D18" w:rsidRDefault="00916D18">
      <w:pPr>
        <w:pStyle w:val="a9"/>
        <w:numPr>
          <w:ilvl w:val="1"/>
          <w:numId w:val="37"/>
        </w:numPr>
      </w:pPr>
      <w:r>
        <w:t>FY2022 拖累 6.45 亿美元；</w:t>
      </w:r>
    </w:p>
    <w:p w14:paraId="2E6D1BEC" w14:textId="77777777" w:rsidR="00916D18" w:rsidRDefault="00916D18">
      <w:pPr>
        <w:pStyle w:val="a9"/>
        <w:numPr>
          <w:ilvl w:val="1"/>
          <w:numId w:val="37"/>
        </w:numPr>
      </w:pPr>
      <w:r>
        <w:t>FY2024 拖累 4.38 亿美元；</w:t>
      </w:r>
    </w:p>
    <w:p w14:paraId="2AD4EDC6" w14:textId="77777777" w:rsidR="00916D18" w:rsidRDefault="00916D18">
      <w:pPr>
        <w:pStyle w:val="a9"/>
        <w:numPr>
          <w:ilvl w:val="1"/>
          <w:numId w:val="37"/>
        </w:numPr>
      </w:pPr>
      <w:r>
        <w:t>FY2025 又贡献 1.06 亿美元。</w:t>
      </w:r>
    </w:p>
    <w:p w14:paraId="45B291E2" w14:textId="77777777" w:rsidR="00916D18" w:rsidRDefault="00916D18" w:rsidP="00916D18">
      <w:r>
        <w:t>因此，CFO 高于净利润是长期特征，但不能把单年营运资本释放当成持续增长来源。</w:t>
      </w:r>
    </w:p>
    <w:p w14:paraId="36BB0701" w14:textId="77777777" w:rsidR="00916D18" w:rsidRDefault="00916D18" w:rsidP="00144C73"/>
    <w:p w14:paraId="241B5CEF" w14:textId="03989B92" w:rsidR="00916D18" w:rsidRPr="004841AD" w:rsidRDefault="004841AD">
      <w:pPr>
        <w:pStyle w:val="a9"/>
        <w:numPr>
          <w:ilvl w:val="0"/>
          <w:numId w:val="42"/>
        </w:numPr>
        <w:rPr>
          <w:b/>
          <w:bCs/>
        </w:rPr>
      </w:pPr>
      <w:r w:rsidRPr="004841AD">
        <w:rPr>
          <w:rFonts w:hint="eastAsia"/>
          <w:b/>
          <w:bCs/>
        </w:rPr>
        <w:t>负债</w:t>
      </w:r>
    </w:p>
    <w:p w14:paraId="333EEB90" w14:textId="7CDE7146" w:rsidR="000F2B53" w:rsidRDefault="000B7FBA" w:rsidP="00144C73">
      <w:r w:rsidRPr="000B7FBA">
        <w:rPr>
          <w:noProof/>
        </w:rPr>
        <w:lastRenderedPageBreak/>
        <w:drawing>
          <wp:inline distT="0" distB="0" distL="0" distR="0" wp14:anchorId="2CB1085C" wp14:editId="12D5833D">
            <wp:extent cx="6645910" cy="1859915"/>
            <wp:effectExtent l="0" t="0" r="0" b="0"/>
            <wp:docPr id="1455513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13061" name=""/>
                    <pic:cNvPicPr/>
                  </pic:nvPicPr>
                  <pic:blipFill>
                    <a:blip r:embed="rId71"/>
                    <a:stretch>
                      <a:fillRect/>
                    </a:stretch>
                  </pic:blipFill>
                  <pic:spPr>
                    <a:xfrm>
                      <a:off x="0" y="0"/>
                      <a:ext cx="6645910" cy="1859915"/>
                    </a:xfrm>
                    <a:prstGeom prst="rect">
                      <a:avLst/>
                    </a:prstGeom>
                  </pic:spPr>
                </pic:pic>
              </a:graphicData>
            </a:graphic>
          </wp:inline>
        </w:drawing>
      </w:r>
    </w:p>
    <w:p w14:paraId="08EE8A2C" w14:textId="4F7B1466" w:rsidR="00F54B78" w:rsidRDefault="00F54B78" w:rsidP="00F54B78">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50</w:t>
      </w:r>
      <w:r w:rsidR="00CC796E">
        <w:fldChar w:fldCharType="end"/>
      </w:r>
      <w:r>
        <w:rPr>
          <w:rFonts w:hint="eastAsia"/>
        </w:rPr>
        <w:t>：债务与租赁负担</w:t>
      </w:r>
    </w:p>
    <w:p w14:paraId="42377AF3" w14:textId="77777777" w:rsidR="00F54B78" w:rsidRPr="00144C73" w:rsidRDefault="00F54B78" w:rsidP="00F54B78">
      <w:r w:rsidRPr="00BA7C0D">
        <w:rPr>
          <w:noProof/>
        </w:rPr>
        <w:drawing>
          <wp:inline distT="0" distB="0" distL="0" distR="0" wp14:anchorId="1D11C013" wp14:editId="08618B8A">
            <wp:extent cx="6645910" cy="1735455"/>
            <wp:effectExtent l="0" t="0" r="0" b="0"/>
            <wp:docPr id="844892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92541" name=""/>
                    <pic:cNvPicPr/>
                  </pic:nvPicPr>
                  <pic:blipFill>
                    <a:blip r:embed="rId72"/>
                    <a:stretch>
                      <a:fillRect/>
                    </a:stretch>
                  </pic:blipFill>
                  <pic:spPr>
                    <a:xfrm>
                      <a:off x="0" y="0"/>
                      <a:ext cx="6645910" cy="1735455"/>
                    </a:xfrm>
                    <a:prstGeom prst="rect">
                      <a:avLst/>
                    </a:prstGeom>
                  </pic:spPr>
                </pic:pic>
              </a:graphicData>
            </a:graphic>
          </wp:inline>
        </w:drawing>
      </w:r>
    </w:p>
    <w:p w14:paraId="36BA5F89" w14:textId="2A509058" w:rsidR="00144D04" w:rsidRDefault="00144D04" w:rsidP="00F54B78">
      <w:r w:rsidRPr="00144D04">
        <w:t>债务与租赁负债合计548.1亿美元</w:t>
      </w:r>
      <w:r>
        <w:rPr>
          <w:rFonts w:hint="eastAsia"/>
        </w:rPr>
        <w:t>，占总负债约89.4%。</w:t>
      </w:r>
    </w:p>
    <w:p w14:paraId="65748242" w14:textId="0A7E4519" w:rsidR="00F54B78" w:rsidRDefault="00F54B78" w:rsidP="00F54B78">
      <w:r>
        <w:t>不含租赁的净债务/EBITDA长期大致在 2.5–3.7 倍，FY2025 为 2.7 倍</w:t>
      </w:r>
      <w:r w:rsidR="007C398E">
        <w:rPr>
          <w:rFonts w:hint="eastAsia"/>
        </w:rPr>
        <w:t>；</w:t>
      </w:r>
      <w:r w:rsidR="007C398E">
        <w:t xml:space="preserve">含租赁后的净债务/EBITDA长期大致在 </w:t>
      </w:r>
      <w:r w:rsidR="007C398E">
        <w:rPr>
          <w:rFonts w:hint="eastAsia"/>
        </w:rPr>
        <w:t>3</w:t>
      </w:r>
      <w:r w:rsidR="007C398E">
        <w:t>.5-4倍</w:t>
      </w:r>
      <w:r w:rsidR="007C398E">
        <w:rPr>
          <w:rFonts w:hint="eastAsia"/>
        </w:rPr>
        <w:t>左右，FY2025为3.7倍，</w:t>
      </w:r>
      <w:r>
        <w:t>债务并未失控。</w:t>
      </w:r>
    </w:p>
    <w:p w14:paraId="00B0F368" w14:textId="77777777" w:rsidR="00F54B78" w:rsidRDefault="00F54B78" w:rsidP="00F54B78">
      <w:r>
        <w:t>FY2019 的租赁负债大幅跳升，主要包含 ASC 842 会计确认影响，不能全部解读为当年新增经济债务。</w:t>
      </w:r>
    </w:p>
    <w:p w14:paraId="1F769475" w14:textId="77777777" w:rsidR="00F54B78" w:rsidRDefault="00F54B78" w:rsidP="00F54B78">
      <w:r>
        <w:t>FY2025 现金仅 7.74 亿美元，而流动负债为 43.61 亿美元，现金比率仅 17.7%。公司依赖持续经营现金流、再融资能力和稳定的加盟现金流，而不是高额现金储备。</w:t>
      </w:r>
    </w:p>
    <w:p w14:paraId="10D5B04A" w14:textId="77777777" w:rsidR="0099160D" w:rsidRPr="001343C8" w:rsidRDefault="0099160D" w:rsidP="00144C73"/>
    <w:p w14:paraId="4DB5EBE5" w14:textId="0DFF0277" w:rsidR="002B3139" w:rsidRDefault="002B3139" w:rsidP="002B3139">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51</w:t>
      </w:r>
      <w:r w:rsidR="00CC796E">
        <w:fldChar w:fldCharType="end"/>
      </w:r>
      <w:r>
        <w:rPr>
          <w:rFonts w:hint="eastAsia"/>
        </w:rPr>
        <w:t>：</w:t>
      </w:r>
      <w:r>
        <w:rPr>
          <w:rFonts w:hint="eastAsia"/>
        </w:rPr>
        <w:t>FY2025</w:t>
      </w:r>
      <w:r>
        <w:rPr>
          <w:rFonts w:hint="eastAsia"/>
        </w:rPr>
        <w:t>债务本金到期安排</w:t>
      </w:r>
    </w:p>
    <w:p w14:paraId="44C2D4FC" w14:textId="4949FAA1" w:rsidR="0099160D" w:rsidRDefault="002B3139" w:rsidP="00144C73">
      <w:r w:rsidRPr="002B3139">
        <w:rPr>
          <w:noProof/>
        </w:rPr>
        <w:drawing>
          <wp:inline distT="0" distB="0" distL="0" distR="0" wp14:anchorId="3620DD43" wp14:editId="2F25DFA1">
            <wp:extent cx="6645910" cy="2800350"/>
            <wp:effectExtent l="0" t="0" r="0" b="6350"/>
            <wp:docPr id="1732887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87264" name=""/>
                    <pic:cNvPicPr/>
                  </pic:nvPicPr>
                  <pic:blipFill>
                    <a:blip r:embed="rId73"/>
                    <a:stretch>
                      <a:fillRect/>
                    </a:stretch>
                  </pic:blipFill>
                  <pic:spPr>
                    <a:xfrm>
                      <a:off x="0" y="0"/>
                      <a:ext cx="6645910" cy="2800350"/>
                    </a:xfrm>
                    <a:prstGeom prst="rect">
                      <a:avLst/>
                    </a:prstGeom>
                  </pic:spPr>
                </pic:pic>
              </a:graphicData>
            </a:graphic>
          </wp:inline>
        </w:drawing>
      </w:r>
    </w:p>
    <w:p w14:paraId="7CA882E5" w14:textId="38D51EAE" w:rsidR="0099160D" w:rsidRDefault="004A673B" w:rsidP="00144C73">
      <w:r w:rsidRPr="004A673B">
        <w:lastRenderedPageBreak/>
        <w:t>没有明显的短期债务墙，债务主要分布在中长期。但“此后”到期的 251亿美元占本金约 62.6%，未来依赖持续再融资。</w:t>
      </w:r>
    </w:p>
    <w:p w14:paraId="72365DB7" w14:textId="375DDA6D" w:rsidR="00AF586B" w:rsidRDefault="00AF586B" w:rsidP="00AF586B">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52</w:t>
      </w:r>
      <w:r w:rsidR="00CC796E">
        <w:fldChar w:fldCharType="end"/>
      </w:r>
      <w:r>
        <w:rPr>
          <w:rFonts w:hint="eastAsia"/>
        </w:rPr>
        <w:t>：</w:t>
      </w:r>
      <w:r>
        <w:rPr>
          <w:rFonts w:hint="eastAsia"/>
        </w:rPr>
        <w:t>FY2025</w:t>
      </w:r>
      <w:r>
        <w:rPr>
          <w:rFonts w:hint="eastAsia"/>
        </w:rPr>
        <w:t>债务币种</w:t>
      </w:r>
    </w:p>
    <w:p w14:paraId="21E0711B" w14:textId="49054814" w:rsidR="004A673B" w:rsidRDefault="00AF586B" w:rsidP="00144C73">
      <w:r w:rsidRPr="00AF586B">
        <w:rPr>
          <w:noProof/>
        </w:rPr>
        <w:drawing>
          <wp:inline distT="0" distB="0" distL="0" distR="0" wp14:anchorId="6AAB0812" wp14:editId="1AFC1D4D">
            <wp:extent cx="6645910" cy="3121660"/>
            <wp:effectExtent l="0" t="0" r="0" b="2540"/>
            <wp:docPr id="752976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76132" name=""/>
                    <pic:cNvPicPr/>
                  </pic:nvPicPr>
                  <pic:blipFill>
                    <a:blip r:embed="rId74"/>
                    <a:stretch>
                      <a:fillRect/>
                    </a:stretch>
                  </pic:blipFill>
                  <pic:spPr>
                    <a:xfrm>
                      <a:off x="0" y="0"/>
                      <a:ext cx="6645910" cy="3121660"/>
                    </a:xfrm>
                    <a:prstGeom prst="rect">
                      <a:avLst/>
                    </a:prstGeom>
                  </pic:spPr>
                </pic:pic>
              </a:graphicData>
            </a:graphic>
          </wp:inline>
        </w:drawing>
      </w:r>
    </w:p>
    <w:p w14:paraId="5249139E" w14:textId="633F47F5" w:rsidR="00AF586B" w:rsidRDefault="00B64560" w:rsidP="00144C73">
      <w:r w:rsidRPr="00B64560">
        <w:t>非美元债务约占 38.9%，与麦当劳海外经营现金流相匹配，但也带来汇率波动。</w:t>
      </w:r>
    </w:p>
    <w:p w14:paraId="223B8443" w14:textId="77777777" w:rsidR="00AF586B" w:rsidRDefault="00AF586B" w:rsidP="00144C73"/>
    <w:p w14:paraId="70F20D60" w14:textId="5E2585D7" w:rsidR="001F4402" w:rsidRPr="001F4402" w:rsidRDefault="001F4402">
      <w:pPr>
        <w:pStyle w:val="a9"/>
        <w:numPr>
          <w:ilvl w:val="0"/>
          <w:numId w:val="42"/>
        </w:numPr>
        <w:rPr>
          <w:b/>
          <w:bCs/>
        </w:rPr>
      </w:pPr>
      <w:r w:rsidRPr="001F4402">
        <w:rPr>
          <w:rFonts w:hint="eastAsia"/>
          <w:b/>
          <w:bCs/>
        </w:rPr>
        <w:t>权益</w:t>
      </w:r>
    </w:p>
    <w:p w14:paraId="2057E8D7" w14:textId="64583A5C" w:rsidR="00AF586B" w:rsidRDefault="00BF629F" w:rsidP="00144C73">
      <w:r w:rsidRPr="00BF629F">
        <w:rPr>
          <w:noProof/>
        </w:rPr>
        <w:drawing>
          <wp:inline distT="0" distB="0" distL="0" distR="0" wp14:anchorId="27C3C97E" wp14:editId="790C88C5">
            <wp:extent cx="6645910" cy="979805"/>
            <wp:effectExtent l="0" t="0" r="0" b="0"/>
            <wp:docPr id="2111326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26525" name=""/>
                    <pic:cNvPicPr/>
                  </pic:nvPicPr>
                  <pic:blipFill>
                    <a:blip r:embed="rId75"/>
                    <a:stretch>
                      <a:fillRect/>
                    </a:stretch>
                  </pic:blipFill>
                  <pic:spPr>
                    <a:xfrm>
                      <a:off x="0" y="0"/>
                      <a:ext cx="6645910" cy="979805"/>
                    </a:xfrm>
                    <a:prstGeom prst="rect">
                      <a:avLst/>
                    </a:prstGeom>
                  </pic:spPr>
                </pic:pic>
              </a:graphicData>
            </a:graphic>
          </wp:inline>
        </w:drawing>
      </w:r>
    </w:p>
    <w:p w14:paraId="2AB56AAD" w14:textId="77777777" w:rsidR="00112303" w:rsidRDefault="00112303" w:rsidP="00112303">
      <w:r w:rsidRPr="004D5FFC">
        <w:rPr>
          <w:noProof/>
        </w:rPr>
        <w:drawing>
          <wp:inline distT="0" distB="0" distL="0" distR="0" wp14:anchorId="0CCA3A01" wp14:editId="451FF2F5">
            <wp:extent cx="6645910" cy="1588770"/>
            <wp:effectExtent l="0" t="0" r="0" b="0"/>
            <wp:docPr id="1889105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05154" name=""/>
                    <pic:cNvPicPr/>
                  </pic:nvPicPr>
                  <pic:blipFill>
                    <a:blip r:embed="rId76"/>
                    <a:stretch>
                      <a:fillRect/>
                    </a:stretch>
                  </pic:blipFill>
                  <pic:spPr>
                    <a:xfrm>
                      <a:off x="0" y="0"/>
                      <a:ext cx="6645910" cy="1588770"/>
                    </a:xfrm>
                    <a:prstGeom prst="rect">
                      <a:avLst/>
                    </a:prstGeom>
                  </pic:spPr>
                </pic:pic>
              </a:graphicData>
            </a:graphic>
          </wp:inline>
        </w:drawing>
      </w:r>
    </w:p>
    <w:p w14:paraId="0BC2C8DA" w14:textId="53F1DA9D" w:rsidR="00AF586B" w:rsidRDefault="00DE24F0" w:rsidP="00144C73">
      <w:r w:rsidRPr="00DE24F0">
        <w:rPr>
          <w:noProof/>
        </w:rPr>
        <w:lastRenderedPageBreak/>
        <w:drawing>
          <wp:inline distT="0" distB="0" distL="0" distR="0" wp14:anchorId="005C9E6B" wp14:editId="7CAD7D62">
            <wp:extent cx="5028144" cy="2393005"/>
            <wp:effectExtent l="0" t="0" r="1270" b="0"/>
            <wp:docPr id="572938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38199" name=""/>
                    <pic:cNvPicPr/>
                  </pic:nvPicPr>
                  <pic:blipFill>
                    <a:blip r:embed="rId77"/>
                    <a:stretch>
                      <a:fillRect/>
                    </a:stretch>
                  </pic:blipFill>
                  <pic:spPr>
                    <a:xfrm>
                      <a:off x="0" y="0"/>
                      <a:ext cx="5052735" cy="2404709"/>
                    </a:xfrm>
                    <a:prstGeom prst="rect">
                      <a:avLst/>
                    </a:prstGeom>
                  </pic:spPr>
                </pic:pic>
              </a:graphicData>
            </a:graphic>
          </wp:inline>
        </w:drawing>
      </w:r>
    </w:p>
    <w:p w14:paraId="78E4BDE0" w14:textId="5789D401" w:rsidR="00AF586B" w:rsidRDefault="008748C8" w:rsidP="008748C8">
      <w:r>
        <w:t>2005年至2026年，普通股数量下降约 44%；2016年至2025年，下降约 13%；</w:t>
      </w:r>
      <w:r w:rsidR="00D03CCF" w:rsidRPr="00D03CCF">
        <w:t>回购数量并不等于流通股净减少数量。</w:t>
      </w:r>
    </w:p>
    <w:p w14:paraId="047A6B6B" w14:textId="77777777" w:rsidR="008748C8" w:rsidRDefault="008748C8" w:rsidP="008748C8"/>
    <w:p w14:paraId="1C59B66F" w14:textId="1C8831E5" w:rsidR="001F2093" w:rsidRDefault="008440B1" w:rsidP="008440B1">
      <w:pPr>
        <w:pStyle w:val="3"/>
      </w:pPr>
      <w:r>
        <w:rPr>
          <w:rFonts w:hint="eastAsia"/>
        </w:rPr>
        <w:t>现金流</w:t>
      </w:r>
    </w:p>
    <w:p w14:paraId="654EDD1B" w14:textId="77777777" w:rsidR="007B2127" w:rsidRPr="006655D2" w:rsidRDefault="007B2127">
      <w:pPr>
        <w:pStyle w:val="a9"/>
        <w:numPr>
          <w:ilvl w:val="0"/>
          <w:numId w:val="42"/>
        </w:numPr>
        <w:rPr>
          <w:b/>
          <w:bCs/>
        </w:rPr>
      </w:pPr>
      <w:r w:rsidRPr="006655D2">
        <w:rPr>
          <w:rFonts w:hint="eastAsia"/>
          <w:b/>
          <w:bCs/>
        </w:rPr>
        <w:t>资本开支</w:t>
      </w:r>
    </w:p>
    <w:p w14:paraId="1D853B03" w14:textId="77777777" w:rsidR="007B2127" w:rsidRDefault="007B2127" w:rsidP="007B2127">
      <w:r w:rsidRPr="00DD6911">
        <w:t>麦当劳资本开支呈现两个不同阶段：早期较大投入用于既有餐厅现代化，近期增量主要用于新餐厅扩张。它虽然高度特许经营，但传统加盟模式下总部仍承担土地、建筑等投入，因此加盟比例提高并不意味着资本开支持续下降。下一阶段，扩张投入之外还将增加 NEXT 改造支持，现金流分析需要同时考虑总部资本开支、加盟商投资和租金减免。</w:t>
      </w:r>
    </w:p>
    <w:p w14:paraId="1B35B2A4" w14:textId="2955D9DE" w:rsidR="007B2127" w:rsidRDefault="007B2127" w:rsidP="007B2127">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53</w:t>
      </w:r>
      <w:r w:rsidR="00CC796E">
        <w:fldChar w:fldCharType="end"/>
      </w:r>
      <w:r>
        <w:rPr>
          <w:rFonts w:hint="eastAsia"/>
        </w:rPr>
        <w:t>：资本开支结构（百万美元）</w:t>
      </w:r>
    </w:p>
    <w:p w14:paraId="7324134B" w14:textId="77777777" w:rsidR="00790753" w:rsidRDefault="007B2127" w:rsidP="00021983">
      <w:r w:rsidRPr="00D2459D">
        <w:rPr>
          <w:noProof/>
        </w:rPr>
        <w:drawing>
          <wp:inline distT="0" distB="0" distL="0" distR="0" wp14:anchorId="513A864C" wp14:editId="4D3EFE2E">
            <wp:extent cx="6645910" cy="3661410"/>
            <wp:effectExtent l="0" t="0" r="0" b="0"/>
            <wp:docPr id="258074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74529" name=""/>
                    <pic:cNvPicPr/>
                  </pic:nvPicPr>
                  <pic:blipFill>
                    <a:blip r:embed="rId78"/>
                    <a:stretch>
                      <a:fillRect/>
                    </a:stretch>
                  </pic:blipFill>
                  <pic:spPr>
                    <a:xfrm>
                      <a:off x="0" y="0"/>
                      <a:ext cx="6645910" cy="3661410"/>
                    </a:xfrm>
                    <a:prstGeom prst="rect">
                      <a:avLst/>
                    </a:prstGeom>
                  </pic:spPr>
                </pic:pic>
              </a:graphicData>
            </a:graphic>
          </wp:inline>
        </w:drawing>
      </w:r>
    </w:p>
    <w:p w14:paraId="760BC110" w14:textId="77777777" w:rsidR="00790753" w:rsidRDefault="00790753" w:rsidP="00790753">
      <w:r>
        <w:t>传统加盟模式下，麦当劳通常拥有或长期租赁土地和建筑，加盟商承担设备、招牌、座椅及装修等投入，并</w:t>
      </w:r>
      <w:r>
        <w:lastRenderedPageBreak/>
        <w:t>持续进行再投资。总部也会为特定升级项目提供共同投资支持。因此，新开一家加盟餐厅仍可能消耗麦当劳资本，之后以租金和 royalty 形成长期收入。</w:t>
      </w:r>
    </w:p>
    <w:p w14:paraId="4173EB9D" w14:textId="3BFA77DA" w:rsidR="00790753" w:rsidRDefault="00790753" w:rsidP="00790753">
      <w:r>
        <w:t>发展许可及联营模式则通常由当地经营者承担包括地产在内的餐厅投资，总部一般不投入餐厅资本。由此，不同地区的开店数量不能直接对应相同的总部资本开支。</w:t>
      </w:r>
    </w:p>
    <w:p w14:paraId="78F2DBE1" w14:textId="4A051E9B" w:rsidR="00021983" w:rsidRDefault="00021983" w:rsidP="00021983">
      <w:r>
        <w:t>FY2018 是既有餐厅投入的高峰，主要对应 EOTF 现代化改造。该年美国约 4,500 家餐厅完成 EOTF 转换，公司既有餐厅投入达到 21.11 亿美元，占总资本开支约 77%。FY2019 投入下降，FY2020 又因疫情推迟既有餐厅再投资。</w:t>
      </w:r>
    </w:p>
    <w:p w14:paraId="17EA4AB1" w14:textId="3BA4EB43" w:rsidR="00021983" w:rsidRDefault="00021983" w:rsidP="00021983">
      <w:r>
        <w:t>FY2023 起，资本开支增长主要对应餐厅开发战略。FY2022–FY2025 总资本开支增加 14.66 亿美元，其中新餐厅投入增加 13.98 亿美元，贡献约 95%；既有餐厅投入仅增加 0.25 亿美元。因此，最近几年的再投资负担上升主要由扩张提速驱动，既有网络的合并投入暂未出现同等幅度上升。</w:t>
      </w:r>
    </w:p>
    <w:p w14:paraId="3A590A86" w14:textId="4753CE95" w:rsidR="0007757A" w:rsidRPr="00610F94" w:rsidRDefault="00021983" w:rsidP="00021983">
      <w:r>
        <w:t>但“既有餐厅投入”不能全部视为维护资本开支：其中包括翻新、现代化及提高销售或效率的升级项目。</w:t>
      </w:r>
    </w:p>
    <w:p w14:paraId="5D26D6C8" w14:textId="223D02FB" w:rsidR="00E4630A" w:rsidRDefault="00E4630A" w:rsidP="00E4630A">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54</w:t>
      </w:r>
      <w:r w:rsidR="00CC796E">
        <w:fldChar w:fldCharType="end"/>
      </w:r>
      <w:r>
        <w:rPr>
          <w:rFonts w:hint="eastAsia"/>
        </w:rPr>
        <w:t>：</w:t>
      </w:r>
      <w:r>
        <w:rPr>
          <w:rFonts w:hint="eastAsia"/>
        </w:rPr>
        <w:t>2026</w:t>
      </w:r>
      <w:r>
        <w:rPr>
          <w:rFonts w:hint="eastAsia"/>
        </w:rPr>
        <w:t>年上半年资本开支</w:t>
      </w:r>
    </w:p>
    <w:p w14:paraId="5B0C779E" w14:textId="48925A5C" w:rsidR="0007757A" w:rsidRPr="0007757A" w:rsidRDefault="00E4630A" w:rsidP="00021983">
      <w:r w:rsidRPr="00E4630A">
        <w:rPr>
          <w:noProof/>
        </w:rPr>
        <w:drawing>
          <wp:inline distT="0" distB="0" distL="0" distR="0" wp14:anchorId="31A14A53" wp14:editId="6561420C">
            <wp:extent cx="5204298" cy="2189922"/>
            <wp:effectExtent l="0" t="0" r="3175" b="0"/>
            <wp:docPr id="1862264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64724" name=""/>
                    <pic:cNvPicPr/>
                  </pic:nvPicPr>
                  <pic:blipFill>
                    <a:blip r:embed="rId79"/>
                    <a:stretch>
                      <a:fillRect/>
                    </a:stretch>
                  </pic:blipFill>
                  <pic:spPr>
                    <a:xfrm>
                      <a:off x="0" y="0"/>
                      <a:ext cx="5243813" cy="2206549"/>
                    </a:xfrm>
                    <a:prstGeom prst="rect">
                      <a:avLst/>
                    </a:prstGeom>
                  </pic:spPr>
                </pic:pic>
              </a:graphicData>
            </a:graphic>
          </wp:inline>
        </w:drawing>
      </w:r>
    </w:p>
    <w:p w14:paraId="159495BE" w14:textId="022FAD1B" w:rsidR="007B2127" w:rsidRDefault="00957010" w:rsidP="007B2127">
      <w:r w:rsidRPr="00957010">
        <w:t>上半年新增投资尚未造成现金覆盖恶化，但 CFO 改善包含有利的营运资本变化，不能把 18% 的增速完全视为持续经营增长。同期公司仍预计 FY2026 全年资本开支为 37–39 亿美元，多数用于美国及 IOM 新餐厅扩张；全年 FCF 转换率为低至中段 80% 区间。</w:t>
      </w:r>
    </w:p>
    <w:p w14:paraId="647D4C72" w14:textId="6884D221" w:rsidR="00957010" w:rsidRDefault="00DA7EFD" w:rsidP="007B2127">
      <w:r w:rsidRPr="00DA7EFD">
        <w:t>2026 年 9 月 23 日官方投资者日公告给出了更新框架：</w:t>
      </w:r>
    </w:p>
    <w:p w14:paraId="39ECDC35" w14:textId="306D3E94" w:rsidR="00DA7EFD" w:rsidRDefault="00DA7EFD" w:rsidP="00DA7EFD">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55</w:t>
      </w:r>
      <w:r w:rsidR="00CC796E">
        <w:fldChar w:fldCharType="end"/>
      </w:r>
      <w:r>
        <w:rPr>
          <w:rFonts w:hint="eastAsia"/>
        </w:rPr>
        <w:t>：</w:t>
      </w:r>
      <w:r>
        <w:rPr>
          <w:rFonts w:hint="eastAsia"/>
        </w:rPr>
        <w:t>NEXT</w:t>
      </w:r>
      <w:r>
        <w:rPr>
          <w:rFonts w:hint="eastAsia"/>
        </w:rPr>
        <w:t>计划资本开支</w:t>
      </w:r>
    </w:p>
    <w:p w14:paraId="05E98061" w14:textId="2AD0097B" w:rsidR="00957010" w:rsidRDefault="00DA7EFD" w:rsidP="007B2127">
      <w:r w:rsidRPr="00DA7EFD">
        <w:rPr>
          <w:noProof/>
        </w:rPr>
        <w:drawing>
          <wp:inline distT="0" distB="0" distL="0" distR="0" wp14:anchorId="0A088A61" wp14:editId="458267FD">
            <wp:extent cx="6645910" cy="1839595"/>
            <wp:effectExtent l="0" t="0" r="0" b="1905"/>
            <wp:docPr id="654594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94933" name=""/>
                    <pic:cNvPicPr/>
                  </pic:nvPicPr>
                  <pic:blipFill>
                    <a:blip r:embed="rId80"/>
                    <a:stretch>
                      <a:fillRect/>
                    </a:stretch>
                  </pic:blipFill>
                  <pic:spPr>
                    <a:xfrm>
                      <a:off x="0" y="0"/>
                      <a:ext cx="6645910" cy="1839595"/>
                    </a:xfrm>
                    <a:prstGeom prst="rect">
                      <a:avLst/>
                    </a:prstGeom>
                  </pic:spPr>
                </pic:pic>
              </a:graphicData>
            </a:graphic>
          </wp:inline>
        </w:drawing>
      </w:r>
    </w:p>
    <w:p w14:paraId="05F2F3DB" w14:textId="1E7D19A3" w:rsidR="00957010" w:rsidRDefault="00BF6AD2" w:rsidP="007B2127">
      <w:r w:rsidRPr="00BF6AD2">
        <w:t>据此计算，FY2027–FY2030 基础资本开支约 120 亿美元，加上 NEXT 资本支持，四年合计约 135–140 亿</w:t>
      </w:r>
      <w:r w:rsidRPr="00BF6AD2">
        <w:lastRenderedPageBreak/>
        <w:t>美元，平均每年约 33.75–35 亿美元。</w:t>
      </w:r>
    </w:p>
    <w:p w14:paraId="6618A438" w14:textId="13FFAEF7" w:rsidR="007B2127" w:rsidRDefault="005F1EE6" w:rsidP="007B2127">
      <w:r w:rsidRPr="005F1EE6">
        <w:rPr>
          <w:noProof/>
        </w:rPr>
        <w:drawing>
          <wp:inline distT="0" distB="0" distL="0" distR="0" wp14:anchorId="52E80110" wp14:editId="1126BD48">
            <wp:extent cx="6645910" cy="3605530"/>
            <wp:effectExtent l="0" t="0" r="0" b="1270"/>
            <wp:docPr id="1254407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07466" name=""/>
                    <pic:cNvPicPr/>
                  </pic:nvPicPr>
                  <pic:blipFill>
                    <a:blip r:embed="rId81"/>
                    <a:stretch>
                      <a:fillRect/>
                    </a:stretch>
                  </pic:blipFill>
                  <pic:spPr>
                    <a:xfrm>
                      <a:off x="0" y="0"/>
                      <a:ext cx="6645910" cy="3605530"/>
                    </a:xfrm>
                    <a:prstGeom prst="rect">
                      <a:avLst/>
                    </a:prstGeom>
                  </pic:spPr>
                </pic:pic>
              </a:graphicData>
            </a:graphic>
          </wp:inline>
        </w:drawing>
      </w:r>
    </w:p>
    <w:p w14:paraId="03E3FE61" w14:textId="77777777" w:rsidR="005F1EE6" w:rsidRDefault="005F1EE6" w:rsidP="007B2127"/>
    <w:p w14:paraId="52CA8E55" w14:textId="1BA6B3DD" w:rsidR="007B2127" w:rsidRPr="007B2127" w:rsidRDefault="007B2127">
      <w:pPr>
        <w:pStyle w:val="a9"/>
        <w:numPr>
          <w:ilvl w:val="0"/>
          <w:numId w:val="60"/>
        </w:numPr>
        <w:rPr>
          <w:b/>
          <w:bCs/>
        </w:rPr>
      </w:pPr>
      <w:r w:rsidRPr="007B2127">
        <w:rPr>
          <w:rFonts w:hint="eastAsia"/>
          <w:b/>
          <w:bCs/>
        </w:rPr>
        <w:t>股东回报</w:t>
      </w:r>
    </w:p>
    <w:p w14:paraId="5D3B65D9" w14:textId="6B3A1E1D" w:rsidR="0020745F" w:rsidRDefault="0020745F" w:rsidP="0020745F">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56</w:t>
      </w:r>
      <w:r w:rsidR="00CC796E">
        <w:fldChar w:fldCharType="end"/>
      </w:r>
      <w:r>
        <w:rPr>
          <w:rFonts w:hint="eastAsia"/>
        </w:rPr>
        <w:t>：现金流分析</w:t>
      </w:r>
    </w:p>
    <w:p w14:paraId="19D19388" w14:textId="465B8912" w:rsidR="001F2093" w:rsidRDefault="004C4DE9" w:rsidP="00144C73">
      <w:r w:rsidRPr="004C4DE9">
        <w:rPr>
          <w:noProof/>
        </w:rPr>
        <w:drawing>
          <wp:inline distT="0" distB="0" distL="0" distR="0" wp14:anchorId="40A649A9" wp14:editId="2AE19C72">
            <wp:extent cx="6645910" cy="2201545"/>
            <wp:effectExtent l="0" t="0" r="0" b="0"/>
            <wp:docPr id="1796468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68344" name=""/>
                    <pic:cNvPicPr/>
                  </pic:nvPicPr>
                  <pic:blipFill>
                    <a:blip r:embed="rId82"/>
                    <a:stretch>
                      <a:fillRect/>
                    </a:stretch>
                  </pic:blipFill>
                  <pic:spPr>
                    <a:xfrm>
                      <a:off x="0" y="0"/>
                      <a:ext cx="6645910" cy="2201545"/>
                    </a:xfrm>
                    <a:prstGeom prst="rect">
                      <a:avLst/>
                    </a:prstGeom>
                  </pic:spPr>
                </pic:pic>
              </a:graphicData>
            </a:graphic>
          </wp:inline>
        </w:drawing>
      </w:r>
    </w:p>
    <w:p w14:paraId="2023B064" w14:textId="1EC7EE22" w:rsidR="000C5E14" w:rsidRDefault="000C5E14" w:rsidP="000C5E14">
      <w:r w:rsidRPr="002C4A78">
        <w:rPr>
          <w:b/>
          <w:bCs/>
        </w:rPr>
        <w:t>FY2016–FY2020：高比例回购阶段。</w:t>
      </w:r>
      <w:r>
        <w:t>分红和回购持续超过 FCF，尤其 FY2016 回购 112 亿美元，股东回报明显依赖债务融资和现金余额。</w:t>
      </w:r>
    </w:p>
    <w:p w14:paraId="0D7A650A" w14:textId="6699720E" w:rsidR="001F2093" w:rsidRDefault="000C5E14" w:rsidP="000C5E14">
      <w:r w:rsidRPr="002C4A78">
        <w:rPr>
          <w:b/>
          <w:bCs/>
        </w:rPr>
        <w:t>FY2021–FY2025：回购收缩，但资本开支和战略投资上升。</w:t>
      </w:r>
      <w:r>
        <w:t>五年累计 CFO 461 亿美元，资本开支 124 亿美元，FCF 337 亿美元；分红 226 亿美元、回购 127 亿美元，合计 353 亿美元，已达到 FCF 的 105%。</w:t>
      </w:r>
    </w:p>
    <w:p w14:paraId="3A7F3BD6" w14:textId="77777777" w:rsidR="0021150A" w:rsidRDefault="0021150A" w:rsidP="0021150A">
      <w:r>
        <w:t>FY2016–FY2025 累计：</w:t>
      </w:r>
    </w:p>
    <w:p w14:paraId="3E274959" w14:textId="30593D7A" w:rsidR="0021150A" w:rsidRDefault="0021150A">
      <w:pPr>
        <w:pStyle w:val="a9"/>
        <w:numPr>
          <w:ilvl w:val="1"/>
          <w:numId w:val="43"/>
        </w:numPr>
      </w:pPr>
      <w:r>
        <w:t>分红：393.4亿美元；</w:t>
      </w:r>
    </w:p>
    <w:p w14:paraId="0435B58D" w14:textId="5103A5FE" w:rsidR="0021150A" w:rsidRDefault="0021150A">
      <w:pPr>
        <w:pStyle w:val="a9"/>
        <w:numPr>
          <w:ilvl w:val="1"/>
          <w:numId w:val="43"/>
        </w:numPr>
      </w:pPr>
      <w:r>
        <w:t>回购：396.3亿美元；</w:t>
      </w:r>
    </w:p>
    <w:p w14:paraId="1B828A03" w14:textId="04B6FE4D" w:rsidR="0021150A" w:rsidRDefault="0021150A">
      <w:pPr>
        <w:pStyle w:val="a9"/>
        <w:numPr>
          <w:ilvl w:val="1"/>
          <w:numId w:val="43"/>
        </w:numPr>
      </w:pPr>
      <w:r>
        <w:lastRenderedPageBreak/>
        <w:t>股东现金回报合计：789.7亿美元；</w:t>
      </w:r>
    </w:p>
    <w:p w14:paraId="79F559DF" w14:textId="5C8BCAB2" w:rsidR="0021150A" w:rsidRDefault="0021150A">
      <w:pPr>
        <w:pStyle w:val="a9"/>
        <w:numPr>
          <w:ilvl w:val="1"/>
          <w:numId w:val="43"/>
        </w:numPr>
      </w:pPr>
      <w:r>
        <w:t>FCF：562.2亿美元；</w:t>
      </w:r>
    </w:p>
    <w:p w14:paraId="71B95364" w14:textId="29F6BA48" w:rsidR="0021150A" w:rsidRDefault="0021150A">
      <w:pPr>
        <w:pStyle w:val="a9"/>
        <w:numPr>
          <w:ilvl w:val="1"/>
          <w:numId w:val="43"/>
        </w:numPr>
      </w:pPr>
      <w:r>
        <w:t>股东回报/FCF：140.5%。</w:t>
      </w:r>
    </w:p>
    <w:p w14:paraId="21BCD55A" w14:textId="77777777" w:rsidR="0021150A" w:rsidRDefault="0021150A" w:rsidP="000C5E14"/>
    <w:p w14:paraId="0EA31350" w14:textId="77777777" w:rsidR="006D2EFE" w:rsidRDefault="006D2EFE" w:rsidP="006D2EFE">
      <w:r>
        <w:t>FY2021–FY2025 还发生约 26 亿美元餐厅及业务收购，以及约 18 亿美元股权法投资。把这些投资也纳入后，内部现金流并不足以同时覆盖资本开支、股东回报和战略投资。</w:t>
      </w:r>
    </w:p>
    <w:p w14:paraId="5AF98F5D" w14:textId="21288FE6" w:rsidR="001F2093" w:rsidRDefault="006D2EFE" w:rsidP="006D2EFE">
      <w:r>
        <w:t>2025 年分红回购基本由 FCF 覆盖，但覆盖余量只有约 1,500 万美元，财务弹性并不高。</w:t>
      </w:r>
    </w:p>
    <w:p w14:paraId="4D539F9D" w14:textId="71EAC888" w:rsidR="001F2093" w:rsidRDefault="006666A2" w:rsidP="00144C73">
      <w:r w:rsidRPr="006666A2">
        <w:t>麦当劳的回购股份主要先作为 库存股（treasury stock）持有，而不是立即注销。</w:t>
      </w:r>
    </w:p>
    <w:p w14:paraId="064BDB59" w14:textId="02E8A78E" w:rsidR="00E82809" w:rsidRDefault="00E82809" w:rsidP="00E82809">
      <w:pPr>
        <w:pStyle w:val="ae"/>
        <w:keepNext/>
      </w:pPr>
      <w:r>
        <w:t>图表</w:t>
      </w:r>
      <w:r>
        <w:t xml:space="preserve"> </w:t>
      </w:r>
      <w:r w:rsidR="00CC796E">
        <w:fldChar w:fldCharType="begin"/>
      </w:r>
      <w:r w:rsidR="00CC796E">
        <w:instrText xml:space="preserve"> SEQ </w:instrText>
      </w:r>
      <w:r w:rsidR="00CC796E">
        <w:instrText>图表</w:instrText>
      </w:r>
      <w:r w:rsidR="00CC796E">
        <w:instrText xml:space="preserve"> \* ARABIC </w:instrText>
      </w:r>
      <w:r w:rsidR="00CC796E">
        <w:fldChar w:fldCharType="separate"/>
      </w:r>
      <w:r w:rsidR="007E3E55">
        <w:rPr>
          <w:noProof/>
        </w:rPr>
        <w:t>57</w:t>
      </w:r>
      <w:r w:rsidR="00CC796E">
        <w:fldChar w:fldCharType="end"/>
      </w:r>
      <w:r>
        <w:rPr>
          <w:rFonts w:hint="eastAsia"/>
        </w:rPr>
        <w:t>：回购对每股收益的作用</w:t>
      </w:r>
    </w:p>
    <w:p w14:paraId="6AB1257A" w14:textId="73707565" w:rsidR="00105DF7" w:rsidRDefault="00E82809" w:rsidP="00144C73">
      <w:r w:rsidRPr="00E82809">
        <w:rPr>
          <w:noProof/>
        </w:rPr>
        <w:drawing>
          <wp:inline distT="0" distB="0" distL="0" distR="0" wp14:anchorId="1E586F21" wp14:editId="5B76D44E">
            <wp:extent cx="6645910" cy="1604010"/>
            <wp:effectExtent l="0" t="0" r="0" b="0"/>
            <wp:docPr id="1887506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06030" name=""/>
                    <pic:cNvPicPr/>
                  </pic:nvPicPr>
                  <pic:blipFill>
                    <a:blip r:embed="rId83"/>
                    <a:stretch>
                      <a:fillRect/>
                    </a:stretch>
                  </pic:blipFill>
                  <pic:spPr>
                    <a:xfrm>
                      <a:off x="0" y="0"/>
                      <a:ext cx="6645910" cy="1604010"/>
                    </a:xfrm>
                    <a:prstGeom prst="rect">
                      <a:avLst/>
                    </a:prstGeom>
                  </pic:spPr>
                </pic:pic>
              </a:graphicData>
            </a:graphic>
          </wp:inline>
        </w:drawing>
      </w:r>
    </w:p>
    <w:p w14:paraId="3FEBDA01" w14:textId="77777777" w:rsidR="00105DF7" w:rsidRDefault="00105DF7" w:rsidP="00144C73"/>
    <w:p w14:paraId="4ADAFA40" w14:textId="0F1149A4" w:rsidR="00B33680" w:rsidRDefault="00B33680" w:rsidP="00B33680">
      <w:pPr>
        <w:pStyle w:val="2"/>
      </w:pPr>
      <w:r>
        <w:rPr>
          <w:rFonts w:hint="eastAsia"/>
        </w:rPr>
        <w:t>管理层</w:t>
      </w:r>
    </w:p>
    <w:p w14:paraId="3D133FD0" w14:textId="06A2009E" w:rsidR="00B33680" w:rsidRPr="00ED04F6" w:rsidRDefault="00ED04F6" w:rsidP="00ED04F6">
      <w:pPr>
        <w:pStyle w:val="a9"/>
        <w:numPr>
          <w:ilvl w:val="0"/>
          <w:numId w:val="12"/>
        </w:numPr>
        <w:rPr>
          <w:rFonts w:hint="eastAsia"/>
          <w:b/>
          <w:bCs/>
        </w:rPr>
      </w:pPr>
      <w:r w:rsidRPr="00ED04F6">
        <w:rPr>
          <w:rFonts w:hint="eastAsia"/>
          <w:b/>
          <w:bCs/>
        </w:rPr>
        <w:t>结论</w:t>
      </w:r>
    </w:p>
    <w:p w14:paraId="79E3F3E7" w14:textId="77777777" w:rsidR="00ED04F6" w:rsidRDefault="00ED04F6" w:rsidP="00ED04F6">
      <w:r>
        <w:t>麦当劳管理层具备较强的全球运营和特许经营经验，薪酬制度也具有明确的绩效约束：CEO 2025 年目标总直接薪酬的 93% 与绩效挂钩，其中约 78% 为长期激励；短期激励同时考核经营利润、体系销售额、开店数量和战略执行，长期激励则考核 EPS 增长、ROIC 和相对股东回报。2025 年经营利润和体系销售额未达到目标，短期激励支付因子降至 76.4%；2023—2025 年长期激励周期中，ROIC 超过目标，但 EPS 增长和相对 TSR 低于目标，最终支付因子为 82.2%。这说明董事会确实会根据经营结果下调薪酬，管理层并非只享受增长结果。</w:t>
      </w:r>
    </w:p>
    <w:p w14:paraId="5145BEB1" w14:textId="3910CC65" w:rsidR="00B33680" w:rsidRDefault="00ED04F6" w:rsidP="00ED04F6">
      <w:r>
        <w:t>但麦当劳的激励机制更偏向“体系规模增长、利润增长和资本效率”，与加盟商单店经济之间仍存在间接性。体系销售额和开店数量占短期激励的 45%，却没有直接考核加盟商现金流、单店 ROI、客流增长、餐厅利润率或 NEXT 项目实际回收期。</w:t>
      </w:r>
      <w:r w:rsidRPr="00046F9E">
        <w:rPr>
          <w:b/>
          <w:bCs/>
        </w:rPr>
        <w:t>对于高度依赖加盟商投资和执行的麦当劳而言，管理层与股东在报表层面的利益较一致，但与加盟商经营结果之间仍可能存在偏差。</w:t>
      </w:r>
      <w:r>
        <w:t>未来判断管理层质量的关键，不是其能否继续提出战略目标，而是 McValue、NEXT 和门店改造能否持续转化为加盟商现金流、客流和单店回报。</w:t>
      </w:r>
    </w:p>
    <w:p w14:paraId="5FC7E353" w14:textId="77777777" w:rsidR="00B33680" w:rsidRDefault="00B33680" w:rsidP="00144C73"/>
    <w:p w14:paraId="2663D4EE" w14:textId="38157E5C" w:rsidR="00E96DB7" w:rsidRDefault="00E96DB7" w:rsidP="00E96DB7">
      <w:pPr>
        <w:pStyle w:val="ae"/>
        <w:keepNext/>
      </w:pPr>
      <w:r>
        <w:lastRenderedPageBreak/>
        <w:t>图表</w:t>
      </w:r>
      <w:r>
        <w:t xml:space="preserve"> </w:t>
      </w:r>
      <w:r>
        <w:fldChar w:fldCharType="begin"/>
      </w:r>
      <w:r>
        <w:instrText xml:space="preserve"> SEQ </w:instrText>
      </w:r>
      <w:r>
        <w:instrText>图表</w:instrText>
      </w:r>
      <w:r>
        <w:instrText xml:space="preserve"> \* ARABIC </w:instrText>
      </w:r>
      <w:r>
        <w:fldChar w:fldCharType="separate"/>
      </w:r>
      <w:r w:rsidR="007E3E55">
        <w:rPr>
          <w:noProof/>
        </w:rPr>
        <w:t>58</w:t>
      </w:r>
      <w:r>
        <w:fldChar w:fldCharType="end"/>
      </w:r>
      <w:r>
        <w:rPr>
          <w:rFonts w:hint="eastAsia"/>
        </w:rPr>
        <w:t>：高管履历</w:t>
      </w:r>
    </w:p>
    <w:p w14:paraId="63BAFB4B" w14:textId="1DB72196" w:rsidR="00563B03" w:rsidRDefault="00E96DB7" w:rsidP="00144C73">
      <w:r w:rsidRPr="00E96DB7">
        <w:drawing>
          <wp:inline distT="0" distB="0" distL="0" distR="0" wp14:anchorId="15902CEB" wp14:editId="3A54A82B">
            <wp:extent cx="6645910" cy="4186555"/>
            <wp:effectExtent l="0" t="0" r="0" b="4445"/>
            <wp:docPr id="1028347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47813" name=""/>
                    <pic:cNvPicPr/>
                  </pic:nvPicPr>
                  <pic:blipFill>
                    <a:blip r:embed="rId84"/>
                    <a:stretch>
                      <a:fillRect/>
                    </a:stretch>
                  </pic:blipFill>
                  <pic:spPr>
                    <a:xfrm>
                      <a:off x="0" y="0"/>
                      <a:ext cx="6645910" cy="4186555"/>
                    </a:xfrm>
                    <a:prstGeom prst="rect">
                      <a:avLst/>
                    </a:prstGeom>
                  </pic:spPr>
                </pic:pic>
              </a:graphicData>
            </a:graphic>
          </wp:inline>
        </w:drawing>
      </w:r>
    </w:p>
    <w:p w14:paraId="5E35B1AC" w14:textId="77777777" w:rsidR="00563B03" w:rsidRDefault="00563B03" w:rsidP="00144C73">
      <w:pPr>
        <w:rPr>
          <w:rFonts w:hint="eastAsia"/>
        </w:rPr>
      </w:pPr>
    </w:p>
    <w:p w14:paraId="12192941" w14:textId="18E52376" w:rsidR="00DC58FC" w:rsidRDefault="00DC58FC" w:rsidP="00DC58FC">
      <w:pPr>
        <w:pStyle w:val="ae"/>
        <w:keepNext/>
      </w:pPr>
      <w:r>
        <w:t>图表</w:t>
      </w:r>
      <w:r>
        <w:t xml:space="preserve"> </w:t>
      </w:r>
      <w:r>
        <w:fldChar w:fldCharType="begin"/>
      </w:r>
      <w:r>
        <w:instrText xml:space="preserve"> SEQ </w:instrText>
      </w:r>
      <w:r>
        <w:instrText>图表</w:instrText>
      </w:r>
      <w:r>
        <w:instrText xml:space="preserve"> \* ARABIC </w:instrText>
      </w:r>
      <w:r>
        <w:fldChar w:fldCharType="separate"/>
      </w:r>
      <w:r w:rsidR="007E3E55">
        <w:rPr>
          <w:noProof/>
        </w:rPr>
        <w:t>59</w:t>
      </w:r>
      <w:r>
        <w:fldChar w:fldCharType="end"/>
      </w:r>
      <w:r>
        <w:rPr>
          <w:rFonts w:hint="eastAsia"/>
        </w:rPr>
        <w:t>：</w:t>
      </w:r>
      <w:r>
        <w:rPr>
          <w:rFonts w:hint="eastAsia"/>
        </w:rPr>
        <w:t>2025</w:t>
      </w:r>
      <w:r>
        <w:rPr>
          <w:rFonts w:hint="eastAsia"/>
        </w:rPr>
        <w:t>年短期激励计划</w:t>
      </w:r>
    </w:p>
    <w:p w14:paraId="5C66AC67" w14:textId="0D3BB196" w:rsidR="00B33680" w:rsidRDefault="00DC58FC" w:rsidP="00144C73">
      <w:r w:rsidRPr="00DC58FC">
        <w:drawing>
          <wp:inline distT="0" distB="0" distL="0" distR="0" wp14:anchorId="46187FB0" wp14:editId="1A0E63B5">
            <wp:extent cx="6645910" cy="1761490"/>
            <wp:effectExtent l="0" t="0" r="0" b="3810"/>
            <wp:docPr id="1639799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99565" name=""/>
                    <pic:cNvPicPr/>
                  </pic:nvPicPr>
                  <pic:blipFill>
                    <a:blip r:embed="rId85"/>
                    <a:stretch>
                      <a:fillRect/>
                    </a:stretch>
                  </pic:blipFill>
                  <pic:spPr>
                    <a:xfrm>
                      <a:off x="0" y="0"/>
                      <a:ext cx="6645910" cy="1761490"/>
                    </a:xfrm>
                    <a:prstGeom prst="rect">
                      <a:avLst/>
                    </a:prstGeom>
                  </pic:spPr>
                </pic:pic>
              </a:graphicData>
            </a:graphic>
          </wp:inline>
        </w:drawing>
      </w:r>
    </w:p>
    <w:p w14:paraId="37FD8865" w14:textId="51E307D4" w:rsidR="00700386" w:rsidRDefault="00BF67F5" w:rsidP="00144C73">
      <w:r w:rsidRPr="00BF67F5">
        <w:t>体系销售额是销售规模指标，不能直接区分客流、提价、产品组合和新店贡献。2026Q2 美国市场已经体现了这一局限：可比销售仍为正，但客流为负，说明管理层可以在客单增长的帮助下维持销售增长，却不代表消费者频次和加盟商经营质量同步改善。</w:t>
      </w:r>
    </w:p>
    <w:p w14:paraId="35A7788A" w14:textId="339E0075" w:rsidR="00700386" w:rsidRPr="00BF67F5" w:rsidRDefault="00D92F03" w:rsidP="00144C73">
      <w:r w:rsidRPr="00D92F03">
        <w:t>开店数量占 15%，体系销售额占 30%，两者合计 45%。这会自然强化管理层对扩张和规模的关注，而加盟商真正关心的现金流、投资回收期和门店利润率并没有被单独量化。</w:t>
      </w:r>
    </w:p>
    <w:p w14:paraId="4909C568" w14:textId="530F47E4" w:rsidR="00DC58FC" w:rsidRDefault="00BF568E" w:rsidP="00144C73">
      <w:r w:rsidRPr="00BF568E">
        <w:t>战略计分卡虽然包含“执行特许经营战略”，但属于定性评价，2025 年得分为 75%，约束力度弱于硬指标。</w:t>
      </w:r>
    </w:p>
    <w:p w14:paraId="35ED5DF6" w14:textId="3E8851D2" w:rsidR="00DC58FC" w:rsidRDefault="006F6FE4" w:rsidP="00144C73">
      <w:r w:rsidRPr="006F6FE4">
        <w:t>公司已经通过区域业绩绑定部分修正了这一问题：</w:t>
      </w:r>
    </w:p>
    <w:p w14:paraId="4A645A86" w14:textId="0EF97097" w:rsidR="006F6FE4" w:rsidRDefault="006F6FE4" w:rsidP="006F6FE4">
      <w:pPr>
        <w:pStyle w:val="ae"/>
        <w:keepNext/>
      </w:pPr>
      <w:r>
        <w:lastRenderedPageBreak/>
        <w:t>图表</w:t>
      </w:r>
      <w:r>
        <w:t xml:space="preserve"> </w:t>
      </w:r>
      <w:r>
        <w:fldChar w:fldCharType="begin"/>
      </w:r>
      <w:r>
        <w:instrText xml:space="preserve"> SEQ </w:instrText>
      </w:r>
      <w:r>
        <w:instrText>图表</w:instrText>
      </w:r>
      <w:r>
        <w:instrText xml:space="preserve"> \* ARABIC </w:instrText>
      </w:r>
      <w:r>
        <w:fldChar w:fldCharType="separate"/>
      </w:r>
      <w:r w:rsidR="007E3E55">
        <w:rPr>
          <w:noProof/>
        </w:rPr>
        <w:t>60</w:t>
      </w:r>
      <w:r>
        <w:fldChar w:fldCharType="end"/>
      </w:r>
      <w:r>
        <w:rPr>
          <w:rFonts w:hint="eastAsia"/>
        </w:rPr>
        <w:t>：区域负责人考核</w:t>
      </w:r>
    </w:p>
    <w:p w14:paraId="53331B7F" w14:textId="2939C043" w:rsidR="00DC58FC" w:rsidRDefault="006F6FE4" w:rsidP="00144C73">
      <w:pPr>
        <w:rPr>
          <w:rFonts w:hint="eastAsia"/>
        </w:rPr>
      </w:pPr>
      <w:r w:rsidRPr="006F6FE4">
        <w:drawing>
          <wp:inline distT="0" distB="0" distL="0" distR="0" wp14:anchorId="2791A561" wp14:editId="3F6AEA18">
            <wp:extent cx="6645910" cy="1350010"/>
            <wp:effectExtent l="0" t="0" r="0" b="0"/>
            <wp:docPr id="891079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79445" name=""/>
                    <pic:cNvPicPr/>
                  </pic:nvPicPr>
                  <pic:blipFill>
                    <a:blip r:embed="rId86"/>
                    <a:stretch>
                      <a:fillRect/>
                    </a:stretch>
                  </pic:blipFill>
                  <pic:spPr>
                    <a:xfrm>
                      <a:off x="0" y="0"/>
                      <a:ext cx="6645910" cy="1350010"/>
                    </a:xfrm>
                    <a:prstGeom prst="rect">
                      <a:avLst/>
                    </a:prstGeom>
                  </pic:spPr>
                </pic:pic>
              </a:graphicData>
            </a:graphic>
          </wp:inline>
        </w:drawing>
      </w:r>
    </w:p>
    <w:p w14:paraId="399126E2" w14:textId="171F5A5C" w:rsidR="00700386" w:rsidRDefault="009E2BDD" w:rsidP="00144C73">
      <w:r w:rsidRPr="009E2BDD">
        <w:t>美国区经营结果明显弱于国际运营市场，因此美国区总裁的支付因子明显低于 CEO 和 IOM 负责人。这表明公司并非完全用全球结果掩盖区域经营差异，但目前仍未进一步下沉到单店或加盟商层面的经营指标。</w:t>
      </w:r>
    </w:p>
    <w:p w14:paraId="591A3320" w14:textId="77777777" w:rsidR="009E2BDD" w:rsidRDefault="009E2BDD" w:rsidP="00144C73"/>
    <w:p w14:paraId="5C4663DB" w14:textId="77777777" w:rsidR="00663F91" w:rsidRDefault="00663F91" w:rsidP="00663F91">
      <w:r>
        <w:t>2025—2027 年长期绩效限制性股票的考核结构为：</w:t>
      </w:r>
    </w:p>
    <w:p w14:paraId="1371A8FF" w14:textId="57A78818" w:rsidR="00663F91" w:rsidRDefault="00663F91">
      <w:pPr>
        <w:pStyle w:val="a9"/>
        <w:numPr>
          <w:ilvl w:val="1"/>
          <w:numId w:val="65"/>
        </w:numPr>
      </w:pPr>
      <w:r>
        <w:t>三年 EPS CAGR：75%；</w:t>
      </w:r>
    </w:p>
    <w:p w14:paraId="0A6CE959" w14:textId="0957656A" w:rsidR="00663F91" w:rsidRDefault="00663F91">
      <w:pPr>
        <w:pStyle w:val="a9"/>
        <w:numPr>
          <w:ilvl w:val="1"/>
          <w:numId w:val="65"/>
        </w:numPr>
      </w:pPr>
      <w:r>
        <w:t>三年平均 ROIC：25%；</w:t>
      </w:r>
    </w:p>
    <w:p w14:paraId="0F40C357" w14:textId="2F8383F4" w:rsidR="00663F91" w:rsidRDefault="00663F91">
      <w:pPr>
        <w:pStyle w:val="a9"/>
        <w:numPr>
          <w:ilvl w:val="1"/>
          <w:numId w:val="65"/>
        </w:numPr>
      </w:pPr>
      <w:r>
        <w:t>相对标普 500 的 TSR 修正：上下浮动 25 个百分点；</w:t>
      </w:r>
    </w:p>
    <w:p w14:paraId="6B4CAB3C" w14:textId="63870356" w:rsidR="009E2BDD" w:rsidRDefault="00663F91">
      <w:pPr>
        <w:pStyle w:val="a9"/>
        <w:numPr>
          <w:ilvl w:val="1"/>
          <w:numId w:val="65"/>
        </w:numPr>
      </w:pPr>
      <w:r>
        <w:t>另外 50% 的长期激励为股票期权，只有股价上涨时才产生价值。</w:t>
      </w:r>
    </w:p>
    <w:p w14:paraId="20556708" w14:textId="16CCD152" w:rsidR="009E2BDD" w:rsidRDefault="006B1D14" w:rsidP="00144C73">
      <w:r w:rsidRPr="006B1D14">
        <w:drawing>
          <wp:inline distT="0" distB="0" distL="0" distR="0" wp14:anchorId="4A86F461" wp14:editId="1C720E54">
            <wp:extent cx="6645910" cy="1925955"/>
            <wp:effectExtent l="0" t="0" r="0" b="4445"/>
            <wp:docPr id="1034890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90444" name=""/>
                    <pic:cNvPicPr/>
                  </pic:nvPicPr>
                  <pic:blipFill>
                    <a:blip r:embed="rId87"/>
                    <a:stretch>
                      <a:fillRect/>
                    </a:stretch>
                  </pic:blipFill>
                  <pic:spPr>
                    <a:xfrm>
                      <a:off x="0" y="0"/>
                      <a:ext cx="6645910" cy="1925955"/>
                    </a:xfrm>
                    <a:prstGeom prst="rect">
                      <a:avLst/>
                    </a:prstGeom>
                  </pic:spPr>
                </pic:pic>
              </a:graphicData>
            </a:graphic>
          </wp:inline>
        </w:drawing>
      </w:r>
    </w:p>
    <w:p w14:paraId="4D3336EC" w14:textId="77777777" w:rsidR="009E2BDD" w:rsidRDefault="009E2BDD" w:rsidP="00144C73"/>
    <w:p w14:paraId="26346530" w14:textId="20BAAA1C" w:rsidR="00C80CF3" w:rsidRDefault="00C80CF3" w:rsidP="00C80CF3">
      <w:r w:rsidRPr="00C80CF3">
        <w:t>管理层与加盟商利益存在制度性间接约束</w:t>
      </w:r>
      <w:r>
        <w:rPr>
          <w:rFonts w:hint="eastAsia"/>
        </w:rPr>
        <w:t>，</w:t>
      </w:r>
      <w:r>
        <w:t>管理层的激励与加盟商利益有三层联系：</w:t>
      </w:r>
    </w:p>
    <w:p w14:paraId="431AAF2A" w14:textId="77777777" w:rsidR="00C80CF3" w:rsidRDefault="00C80CF3" w:rsidP="00C80CF3">
      <w:r>
        <w:t>第一，体系销售额增长会增加加盟商销售，也会增加麦当劳的租金和特许权使用费收入，因此双方在销售增长上存在共同利益。</w:t>
      </w:r>
    </w:p>
    <w:p w14:paraId="71BEB818" w14:textId="77777777" w:rsidR="00C80CF3" w:rsidRDefault="00C80CF3" w:rsidP="00C80CF3">
      <w:r>
        <w:t>第二，经营利润指标会约束总部单纯追求销售规模，因为总部需要将销售增长转化为加盟收入和经营利润。</w:t>
      </w:r>
    </w:p>
    <w:p w14:paraId="59F5794C" w14:textId="3CA968C1" w:rsidR="009E2BDD" w:rsidRDefault="00C80CF3" w:rsidP="00C80CF3">
      <w:pPr>
        <w:rPr>
          <w:rFonts w:hint="eastAsia"/>
        </w:rPr>
      </w:pPr>
      <w:r>
        <w:t>第三，战略计分卡将特许经营战略执行纳入考核，区域负责人也部分按照所在市场结果支付薪酬。</w:t>
      </w:r>
    </w:p>
    <w:p w14:paraId="58B09948" w14:textId="77777777" w:rsidR="007544F7" w:rsidRDefault="007544F7" w:rsidP="007544F7">
      <w:r>
        <w:t>但仍然存在三个缺口：</w:t>
      </w:r>
    </w:p>
    <w:p w14:paraId="09F536D3" w14:textId="38A92946" w:rsidR="007544F7" w:rsidRDefault="007544F7">
      <w:pPr>
        <w:pStyle w:val="a9"/>
        <w:numPr>
          <w:ilvl w:val="1"/>
          <w:numId w:val="66"/>
        </w:numPr>
      </w:pPr>
      <w:r>
        <w:t>没有直接考核加盟商运营现金流；</w:t>
      </w:r>
    </w:p>
    <w:p w14:paraId="1F450410" w14:textId="1C4E2108" w:rsidR="007544F7" w:rsidRDefault="007544F7">
      <w:pPr>
        <w:pStyle w:val="a9"/>
        <w:numPr>
          <w:ilvl w:val="1"/>
          <w:numId w:val="66"/>
        </w:numPr>
      </w:pPr>
      <w:r>
        <w:t>没有直接考核单店投资回报率和 NEXT 回收期；</w:t>
      </w:r>
    </w:p>
    <w:p w14:paraId="2D40EB8C" w14:textId="75A73B92" w:rsidR="00B33680" w:rsidRDefault="007544F7">
      <w:pPr>
        <w:pStyle w:val="a9"/>
        <w:numPr>
          <w:ilvl w:val="1"/>
          <w:numId w:val="66"/>
        </w:numPr>
        <w:rPr>
          <w:rFonts w:hint="eastAsia"/>
        </w:rPr>
      </w:pPr>
      <w:r>
        <w:t>没有直接考核可比客流、加盟餐厅利润率或加盟商执行率。</w:t>
      </w:r>
    </w:p>
    <w:p w14:paraId="468C49C2" w14:textId="77777777" w:rsidR="00B33680" w:rsidRDefault="00B33680" w:rsidP="00144C73">
      <w:pPr>
        <w:rPr>
          <w:rFonts w:hint="eastAsia"/>
        </w:rPr>
      </w:pPr>
    </w:p>
    <w:p w14:paraId="5C9621F6" w14:textId="0C794D1B" w:rsidR="00015CE2" w:rsidRDefault="00084449" w:rsidP="00F76FBE">
      <w:pPr>
        <w:pStyle w:val="2"/>
        <w:rPr>
          <w:rFonts w:hint="eastAsia"/>
        </w:rPr>
      </w:pPr>
      <w:r>
        <w:rPr>
          <w:rFonts w:hint="eastAsia"/>
        </w:rPr>
        <w:lastRenderedPageBreak/>
        <w:t>估值</w:t>
      </w:r>
    </w:p>
    <w:p w14:paraId="69AAC96F" w14:textId="5FFAEF7D" w:rsidR="002914BD" w:rsidRDefault="0054797D" w:rsidP="002914BD">
      <w:pPr>
        <w:rPr>
          <w:rFonts w:hint="eastAsia"/>
        </w:rPr>
      </w:pPr>
      <w:r w:rsidRPr="0054797D">
        <w:rPr>
          <w:noProof/>
        </w:rPr>
        <w:drawing>
          <wp:inline distT="0" distB="0" distL="0" distR="0" wp14:anchorId="0056877A" wp14:editId="704A5F49">
            <wp:extent cx="6645910" cy="1878330"/>
            <wp:effectExtent l="0" t="0" r="0" b="1270"/>
            <wp:docPr id="1329161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61075" name=""/>
                    <pic:cNvPicPr/>
                  </pic:nvPicPr>
                  <pic:blipFill>
                    <a:blip r:embed="rId88"/>
                    <a:stretch>
                      <a:fillRect/>
                    </a:stretch>
                  </pic:blipFill>
                  <pic:spPr>
                    <a:xfrm>
                      <a:off x="0" y="0"/>
                      <a:ext cx="6645910" cy="1878330"/>
                    </a:xfrm>
                    <a:prstGeom prst="rect">
                      <a:avLst/>
                    </a:prstGeom>
                  </pic:spPr>
                </pic:pic>
              </a:graphicData>
            </a:graphic>
          </wp:inline>
        </w:drawing>
      </w:r>
    </w:p>
    <w:p w14:paraId="0736B3C1" w14:textId="78374F02" w:rsidR="002914BD" w:rsidRDefault="00E23F61" w:rsidP="002914BD">
      <w:r w:rsidRPr="00E23F61">
        <w:drawing>
          <wp:inline distT="0" distB="0" distL="0" distR="0" wp14:anchorId="7CDEEDB8" wp14:editId="67C07A5A">
            <wp:extent cx="6645910" cy="1620520"/>
            <wp:effectExtent l="0" t="0" r="0" b="5080"/>
            <wp:docPr id="116100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0137" name=""/>
                    <pic:cNvPicPr/>
                  </pic:nvPicPr>
                  <pic:blipFill>
                    <a:blip r:embed="rId89"/>
                    <a:stretch>
                      <a:fillRect/>
                    </a:stretch>
                  </pic:blipFill>
                  <pic:spPr>
                    <a:xfrm>
                      <a:off x="0" y="0"/>
                      <a:ext cx="6645910" cy="1620520"/>
                    </a:xfrm>
                    <a:prstGeom prst="rect">
                      <a:avLst/>
                    </a:prstGeom>
                  </pic:spPr>
                </pic:pic>
              </a:graphicData>
            </a:graphic>
          </wp:inline>
        </w:drawing>
      </w:r>
    </w:p>
    <w:p w14:paraId="18C429BF" w14:textId="6B96D984" w:rsidR="002914BD" w:rsidRPr="002C5AA5" w:rsidRDefault="002914BD">
      <w:pPr>
        <w:pStyle w:val="a9"/>
        <w:numPr>
          <w:ilvl w:val="0"/>
          <w:numId w:val="67"/>
        </w:numPr>
        <w:rPr>
          <w:b/>
          <w:bCs/>
        </w:rPr>
      </w:pPr>
      <w:r w:rsidRPr="002C5AA5">
        <w:rPr>
          <w:b/>
          <w:bCs/>
        </w:rPr>
        <w:t>历史增长具有基础，但近期已明显放缓</w:t>
      </w:r>
    </w:p>
    <w:p w14:paraId="5E3B95FA" w14:textId="2506213C" w:rsidR="002914BD" w:rsidRDefault="002914BD" w:rsidP="002914BD">
      <w:pPr>
        <w:rPr>
          <w:rFonts w:hint="eastAsia"/>
        </w:rPr>
      </w:pPr>
      <w:r>
        <w:t>2026Q2业绩纪要及9月投资者日非正式整理纪要，均指出美国价值策略和门店执行仍需改善。投资者日纪要称，美国7月、8月同店销售略负，第三季度整体预计略负。因此，下半年不假设美国同店销售迅速恢复至中期正常水平。</w:t>
      </w:r>
    </w:p>
    <w:p w14:paraId="1B74B6C8" w14:textId="7735C26D" w:rsidR="002914BD" w:rsidRPr="002C5AA5" w:rsidRDefault="002914BD" w:rsidP="002914BD">
      <w:pPr>
        <w:rPr>
          <w:rFonts w:hint="eastAsia"/>
        </w:rPr>
      </w:pPr>
      <w:r>
        <w:t>底稿下表中的分部增速，是美元报表口径的加盟收入增长假设，已经综合承接门店销售、扩张及其他收入影响，不等同于单独的同店销售增速，也不再额外叠加新店贡献。</w:t>
      </w:r>
    </w:p>
    <w:p w14:paraId="13419925" w14:textId="4876402F" w:rsidR="002914BD" w:rsidRDefault="002C5AA5" w:rsidP="002914BD">
      <w:r w:rsidRPr="002C5AA5">
        <w:lastRenderedPageBreak/>
        <w:drawing>
          <wp:inline distT="0" distB="0" distL="0" distR="0" wp14:anchorId="7B891720" wp14:editId="69FAE2DA">
            <wp:extent cx="6645910" cy="4015105"/>
            <wp:effectExtent l="0" t="0" r="0" b="0"/>
            <wp:docPr id="2024564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64888" name=""/>
                    <pic:cNvPicPr/>
                  </pic:nvPicPr>
                  <pic:blipFill>
                    <a:blip r:embed="rId90"/>
                    <a:stretch>
                      <a:fillRect/>
                    </a:stretch>
                  </pic:blipFill>
                  <pic:spPr>
                    <a:xfrm>
                      <a:off x="0" y="0"/>
                      <a:ext cx="6645910" cy="4015105"/>
                    </a:xfrm>
                    <a:prstGeom prst="rect">
                      <a:avLst/>
                    </a:prstGeom>
                  </pic:spPr>
                </pic:pic>
              </a:graphicData>
            </a:graphic>
          </wp:inline>
        </w:drawing>
      </w:r>
    </w:p>
    <w:p w14:paraId="569CECA4" w14:textId="77777777" w:rsidR="002914BD" w:rsidRDefault="002914BD" w:rsidP="002914BD">
      <w:r>
        <w:t>美国加盟收入在第三季度仍小幅增长，与同店销售略负并不必然矛盾，因为加盟收入还受到新店及收入结构影响。IOM、IDL则不延续第一季度较高的美元收入增速，避免将汇率和阶段性基数影响当作持续经营增长。</w:t>
      </w:r>
    </w:p>
    <w:p w14:paraId="5D2F455D" w14:textId="77777777" w:rsidR="002914BD" w:rsidRDefault="002914BD" w:rsidP="002914BD"/>
    <w:p w14:paraId="7BDD5A19" w14:textId="58DDA6AD" w:rsidR="002914BD" w:rsidRDefault="002914BD" w:rsidP="002914BD">
      <w:pPr>
        <w:rPr>
          <w:rFonts w:hint="eastAsia"/>
        </w:rPr>
      </w:pPr>
      <w:r>
        <w:t>其余项目采用以下处理：全年利息费用增长5%，对应公司4%–6%指引中点；其他业务净贡献、资产处置费用和餐厅出售收益，下半年沿用上年同期金额，不赋予任意增长率；下半年非经营收入净额预测为零。</w:t>
      </w:r>
    </w:p>
    <w:p w14:paraId="40B8F8C4" w14:textId="4A5020C0" w:rsidR="002914BD" w:rsidRDefault="002914BD" w:rsidP="002914BD">
      <w:pPr>
        <w:rPr>
          <w:rFonts w:hint="eastAsia"/>
        </w:rPr>
      </w:pPr>
      <w:r>
        <w:t>重组费用依据公司全年约2.5亿美元的组织重组指引校准。上半年组织重组费用约9,800万美元，下半年安排约1.52亿美元，按上年第三、第四季度金额权重分配为约4,940万和1.026亿美元。加上上半年该广义科目中的其他约100万美元费用，全年重组与减值科目约2.51亿美元。</w:t>
      </w:r>
    </w:p>
    <w:p w14:paraId="132C3D1D" w14:textId="77777777" w:rsidR="002914BD" w:rsidRDefault="002914BD" w:rsidP="002914BD">
      <w:r>
        <w:t>由此得到FY2026全年基期：</w:t>
      </w:r>
    </w:p>
    <w:p w14:paraId="13CCD062" w14:textId="284C8728" w:rsidR="002914BD" w:rsidRDefault="002C5AA5" w:rsidP="002914BD">
      <w:r w:rsidRPr="002C5AA5">
        <w:lastRenderedPageBreak/>
        <w:drawing>
          <wp:inline distT="0" distB="0" distL="0" distR="0" wp14:anchorId="1AE9D104" wp14:editId="6A912FE0">
            <wp:extent cx="6645910" cy="4136390"/>
            <wp:effectExtent l="0" t="0" r="0" b="3810"/>
            <wp:docPr id="81200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0036" name=""/>
                    <pic:cNvPicPr/>
                  </pic:nvPicPr>
                  <pic:blipFill>
                    <a:blip r:embed="rId91"/>
                    <a:stretch>
                      <a:fillRect/>
                    </a:stretch>
                  </pic:blipFill>
                  <pic:spPr>
                    <a:xfrm>
                      <a:off x="0" y="0"/>
                      <a:ext cx="6645910" cy="4136390"/>
                    </a:xfrm>
                    <a:prstGeom prst="rect">
                      <a:avLst/>
                    </a:prstGeom>
                  </pic:spPr>
                </pic:pic>
              </a:graphicData>
            </a:graphic>
          </wp:inline>
        </w:drawing>
      </w:r>
    </w:p>
    <w:p w14:paraId="3363018A" w14:textId="77777777" w:rsidR="002914BD" w:rsidRDefault="002914BD" w:rsidP="002914BD">
      <w:r>
        <w:t>这一基期包含已披露上半年和预测下半年，属于完整财年估计值。后续增长均从该基期推进。</w:t>
      </w:r>
    </w:p>
    <w:p w14:paraId="783EDEF9" w14:textId="77777777" w:rsidR="002914BD" w:rsidRDefault="002914BD" w:rsidP="002914BD"/>
    <w:p w14:paraId="1EFD007A" w14:textId="3144A348" w:rsidR="002914BD" w:rsidRPr="0094189F" w:rsidRDefault="002914BD">
      <w:pPr>
        <w:pStyle w:val="a9"/>
        <w:numPr>
          <w:ilvl w:val="0"/>
          <w:numId w:val="68"/>
        </w:numPr>
        <w:rPr>
          <w:rFonts w:hint="eastAsia"/>
          <w:b/>
          <w:bCs/>
        </w:rPr>
      </w:pPr>
      <w:r w:rsidRPr="0094189F">
        <w:rPr>
          <w:b/>
          <w:bCs/>
        </w:rPr>
        <w:t>从分部销售增长推导加盟利润</w:t>
      </w:r>
    </w:p>
    <w:p w14:paraId="7B2A1F76" w14:textId="13CDBBF0" w:rsidR="002914BD" w:rsidRPr="007B658A" w:rsidRDefault="002914BD">
      <w:pPr>
        <w:pStyle w:val="a9"/>
        <w:numPr>
          <w:ilvl w:val="0"/>
          <w:numId w:val="69"/>
        </w:numPr>
        <w:rPr>
          <w:rFonts w:hint="eastAsia"/>
          <w:b/>
          <w:bCs/>
        </w:rPr>
      </w:pPr>
      <w:r w:rsidRPr="007B658A">
        <w:rPr>
          <w:b/>
          <w:bCs/>
        </w:rPr>
        <w:t>原加盟网络增长：同店恢复与扩张共同驱动</w:t>
      </w:r>
    </w:p>
    <w:p w14:paraId="6EE2A834" w14:textId="6C783FD8" w:rsidR="002914BD" w:rsidRDefault="002914BD" w:rsidP="002914BD">
      <w:pPr>
        <w:rPr>
          <w:rFonts w:hint="eastAsia"/>
        </w:rPr>
      </w:pPr>
      <w:r>
        <w:t>中期预测区分同店销售和新店销售贡献，再通过稳定take rate传导至加盟收入。新店贡献表示其对销售增速的贡献，不能直接用门店数量增速替代。</w:t>
      </w:r>
    </w:p>
    <w:p w14:paraId="14927E34" w14:textId="668EDB09" w:rsidR="002914BD" w:rsidRDefault="00A34F97" w:rsidP="002914BD">
      <w:r w:rsidRPr="00A34F97">
        <w:lastRenderedPageBreak/>
        <w:drawing>
          <wp:inline distT="0" distB="0" distL="0" distR="0" wp14:anchorId="1175DAB0" wp14:editId="3E415C21">
            <wp:extent cx="6645910" cy="4102100"/>
            <wp:effectExtent l="0" t="0" r="0" b="0"/>
            <wp:docPr id="67088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8543" name=""/>
                    <pic:cNvPicPr/>
                  </pic:nvPicPr>
                  <pic:blipFill>
                    <a:blip r:embed="rId92"/>
                    <a:stretch>
                      <a:fillRect/>
                    </a:stretch>
                  </pic:blipFill>
                  <pic:spPr>
                    <a:xfrm>
                      <a:off x="0" y="0"/>
                      <a:ext cx="6645910" cy="4102100"/>
                    </a:xfrm>
                    <a:prstGeom prst="rect">
                      <a:avLst/>
                    </a:prstGeom>
                  </pic:spPr>
                </pic:pic>
              </a:graphicData>
            </a:graphic>
          </wp:inline>
        </w:drawing>
      </w:r>
    </w:p>
    <w:p w14:paraId="502B4F34" w14:textId="60F43987" w:rsidR="002914BD" w:rsidRDefault="002914BD" w:rsidP="002914BD">
      <w:pPr>
        <w:rPr>
          <w:rFonts w:hint="eastAsia"/>
        </w:rPr>
      </w:pPr>
      <w:r>
        <w:t>近期美国同店增长采用2%，低于投资者日非正式纪要提出的中期3%–4%正常水平；后三年提高至3%，只计入部分恢复。IOM和IDL亦分阶段改善，不假设NEXT立即形成全面经营杠杆。</w:t>
      </w:r>
    </w:p>
    <w:p w14:paraId="5DEA1764" w14:textId="144FD37A" w:rsidR="002914BD" w:rsidRDefault="002914BD" w:rsidP="002914BD">
      <w:pPr>
        <w:rPr>
          <w:rFonts w:hint="eastAsia"/>
        </w:rPr>
      </w:pPr>
      <w:r>
        <w:t>新店贡献体现区域差异：美国以存量经营为主，IDL承担更多扩张；随着新增门店基数扩大，IDL贡献逐步下降。按分部销售权重计算，全球新店销售贡献由2027年约2.5个百分点逐渐降至2030年前后约2个百分点，与投资者日官方材料给出的方向接近。</w:t>
      </w:r>
    </w:p>
    <w:p w14:paraId="78902FBE" w14:textId="77777777" w:rsidR="002914BD" w:rsidRDefault="002914BD" w:rsidP="002914BD">
      <w:r>
        <w:t>在take rate和汇率增量均为零的假设下，加盟收入增长主要来自门店销售。费用端，美国近期占用费用略快于加盟收入增长，IOM亦保留一定成本压力；后期销售恢复、费用增速缓和后，利润传导改善。IDL基期占用费用接近零，模型沿用该近似值，不另设显著费用杠杆。</w:t>
      </w:r>
    </w:p>
    <w:p w14:paraId="4E8472C0" w14:textId="77777777" w:rsidR="002914BD" w:rsidRDefault="002914BD" w:rsidP="002914BD"/>
    <w:p w14:paraId="4A330ACA" w14:textId="77777777" w:rsidR="002914BD" w:rsidRDefault="002914BD" w:rsidP="002914BD">
      <w:r>
        <w:t>计算关系为：</w:t>
      </w:r>
    </w:p>
    <w:p w14:paraId="49360D02" w14:textId="467841A7" w:rsidR="002914BD" w:rsidRDefault="00EF4999" w:rsidP="002914BD">
      <w:r w:rsidRPr="00EF4999">
        <w:lastRenderedPageBreak/>
        <w:drawing>
          <wp:inline distT="0" distB="0" distL="0" distR="0" wp14:anchorId="0E7B7651" wp14:editId="1FDD8757">
            <wp:extent cx="6645910" cy="2903855"/>
            <wp:effectExtent l="0" t="0" r="0" b="4445"/>
            <wp:docPr id="877207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07460" name=""/>
                    <pic:cNvPicPr/>
                  </pic:nvPicPr>
                  <pic:blipFill>
                    <a:blip r:embed="rId93"/>
                    <a:stretch>
                      <a:fillRect/>
                    </a:stretch>
                  </pic:blipFill>
                  <pic:spPr>
                    <a:xfrm>
                      <a:off x="0" y="0"/>
                      <a:ext cx="6645910" cy="2903855"/>
                    </a:xfrm>
                    <a:prstGeom prst="rect">
                      <a:avLst/>
                    </a:prstGeom>
                  </pic:spPr>
                </pic:pic>
              </a:graphicData>
            </a:graphic>
          </wp:inline>
        </w:drawing>
      </w:r>
    </w:p>
    <w:p w14:paraId="399DD6CD" w14:textId="77777777" w:rsidR="002914BD" w:rsidRDefault="002914BD" w:rsidP="002914BD">
      <w:r>
        <w:t>这里的“原网络”是指不含后续直营转加盟新增业务的加盟业务范围，其中仍包含该范围内的新店扩张。</w:t>
      </w:r>
    </w:p>
    <w:p w14:paraId="77463E7A" w14:textId="77777777" w:rsidR="002914BD" w:rsidRDefault="002914BD" w:rsidP="002914BD"/>
    <w:p w14:paraId="5CD7BD83" w14:textId="77777777" w:rsidR="002914BD" w:rsidRDefault="002914BD" w:rsidP="002914BD">
      <w:r>
        <w:t>据此，原网络加盟利润由FY2026约145.84亿美元增至FY2031约185.49亿美元。前两年增长约4.3%，后三年约5.4%，构成公司利润预测的主要经营基础。</w:t>
      </w:r>
    </w:p>
    <w:p w14:paraId="5B8E39B5" w14:textId="77777777" w:rsidR="002914BD" w:rsidRDefault="002914BD" w:rsidP="002914BD"/>
    <w:p w14:paraId="5383D630" w14:textId="0409A519" w:rsidR="002914BD" w:rsidRPr="008F78BC" w:rsidRDefault="002914BD">
      <w:pPr>
        <w:pStyle w:val="a9"/>
        <w:numPr>
          <w:ilvl w:val="0"/>
          <w:numId w:val="69"/>
        </w:numPr>
        <w:rPr>
          <w:b/>
          <w:bCs/>
        </w:rPr>
      </w:pPr>
      <w:r w:rsidRPr="00255B8C">
        <w:rPr>
          <w:b/>
          <w:bCs/>
        </w:rPr>
        <w:t>直营转加盟：计算利润置换</w:t>
      </w:r>
    </w:p>
    <w:p w14:paraId="03BCDB6A" w14:textId="77777777" w:rsidR="002914BD" w:rsidRDefault="002914BD" w:rsidP="002914BD">
      <w:r>
        <w:t>投资者日非正式整理纪要提出，2028年末全球特许经营门店占比提升至约98%。该门店数量目标无法直接换算为转出销售比例，因此模型另设转换进度、收入留存率和转加盟后利润率。</w:t>
      </w:r>
    </w:p>
    <w:p w14:paraId="18A6FAE0" w14:textId="15EA4B93" w:rsidR="002914BD" w:rsidRDefault="007E13F4" w:rsidP="002914BD">
      <w:r w:rsidRPr="007E13F4">
        <w:drawing>
          <wp:inline distT="0" distB="0" distL="0" distR="0" wp14:anchorId="58620172" wp14:editId="2BD7EBDC">
            <wp:extent cx="6645910" cy="2190750"/>
            <wp:effectExtent l="0" t="0" r="0" b="6350"/>
            <wp:docPr id="440256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56400" name=""/>
                    <pic:cNvPicPr/>
                  </pic:nvPicPr>
                  <pic:blipFill>
                    <a:blip r:embed="rId94"/>
                    <a:stretch>
                      <a:fillRect/>
                    </a:stretch>
                  </pic:blipFill>
                  <pic:spPr>
                    <a:xfrm>
                      <a:off x="0" y="0"/>
                      <a:ext cx="6645910" cy="2190750"/>
                    </a:xfrm>
                    <a:prstGeom prst="rect">
                      <a:avLst/>
                    </a:prstGeom>
                  </pic:spPr>
                </pic:pic>
              </a:graphicData>
            </a:graphic>
          </wp:inline>
        </w:drawing>
      </w:r>
    </w:p>
    <w:p w14:paraId="04751032" w14:textId="649D68C8" w:rsidR="002914BD" w:rsidRDefault="002914BD" w:rsidP="002914BD">
      <w:pPr>
        <w:rPr>
          <w:rFonts w:hint="eastAsia"/>
        </w:rPr>
      </w:pPr>
      <w:r>
        <w:t>年平均10%、35%分别对应假设的2027年末转出20%、2028年末转出50%，并假设交易在年度内均匀推进。这些比例均为模型假设，不能视为公司披露的销售转换安排。</w:t>
      </w:r>
    </w:p>
    <w:p w14:paraId="4AD460C5" w14:textId="05C9B9F8" w:rsidR="002914BD" w:rsidRDefault="002914BD" w:rsidP="002914BD">
      <w:pPr>
        <w:rPr>
          <w:rFonts w:hint="eastAsia"/>
        </w:rPr>
      </w:pPr>
      <w:r>
        <w:t>按15%收入留存率和82%加盟利润率，每1美元转出门店销售，转加盟后为麦当劳贡献约0.123美元餐厅利润。模型同时扣除这些门店原有的直营利润。若原直营利润率约15%，转加盟未必增加餐厅利润绝对额，即使公司报表利润率因收入分母收缩而提高。</w:t>
      </w:r>
    </w:p>
    <w:p w14:paraId="50914C71" w14:textId="77777777" w:rsidR="002914BD" w:rsidRDefault="002914BD" w:rsidP="002914BD">
      <w:r>
        <w:t>因此，转加盟的投资意义主要还包括降低经营风险和后续资本投入、提高业务可扩展性，以及可能产生交易</w:t>
      </w:r>
      <w:r>
        <w:lastRenderedPageBreak/>
        <w:t>现金回收。本预测不将这些优势全部转化为持续净利润增长，也不预设年度出售收益。</w:t>
      </w:r>
    </w:p>
    <w:p w14:paraId="712E73F3" w14:textId="77777777" w:rsidR="002914BD" w:rsidRDefault="002914BD" w:rsidP="002914BD"/>
    <w:p w14:paraId="43233BFD" w14:textId="39683F8C" w:rsidR="002914BD" w:rsidRPr="00EE4876" w:rsidRDefault="002914BD">
      <w:pPr>
        <w:pStyle w:val="a9"/>
        <w:numPr>
          <w:ilvl w:val="0"/>
          <w:numId w:val="70"/>
        </w:numPr>
        <w:rPr>
          <w:rFonts w:hint="eastAsia"/>
          <w:b/>
          <w:bCs/>
        </w:rPr>
      </w:pPr>
      <w:r w:rsidRPr="00707E0F">
        <w:rPr>
          <w:b/>
          <w:bCs/>
        </w:rPr>
        <w:t>NEXT投入与净利润增长路径</w:t>
      </w:r>
    </w:p>
    <w:p w14:paraId="42DBEBE6" w14:textId="7CE18050" w:rsidR="002914BD" w:rsidRDefault="002914BD">
      <w:pPr>
        <w:pStyle w:val="a9"/>
        <w:numPr>
          <w:ilvl w:val="0"/>
          <w:numId w:val="71"/>
        </w:numPr>
        <w:rPr>
          <w:rFonts w:hint="eastAsia"/>
        </w:rPr>
      </w:pPr>
      <w:r>
        <w:t>NEXT的现金支出先于利润表费用</w:t>
      </w:r>
    </w:p>
    <w:p w14:paraId="6FA1505A" w14:textId="77777777" w:rsidR="00EE4876" w:rsidRDefault="002914BD" w:rsidP="002914BD">
      <w:r>
        <w:t>投资者日官方材料披露，NEXT支持至2030年累计约50亿美元、至2036年累计约85亿美元，其中2027–2030年资本支持约15亿–20亿美元。</w:t>
      </w:r>
    </w:p>
    <w:p w14:paraId="2195D890" w14:textId="6438BC6B" w:rsidR="002914BD" w:rsidRDefault="002914BD" w:rsidP="002914BD">
      <w:r>
        <w:t>模型采用资本支持中点17.5亿美元，其余32.5亿美元作为前四年租金支持；前四年均匀投放，后六年剩余支持亦均匀投放，并沿用相同资金构成比例。摊销及折旧按10年、投放当年计提半年度处理。</w:t>
      </w:r>
    </w:p>
    <w:p w14:paraId="7735B00C" w14:textId="58B2D167" w:rsidR="002914BD" w:rsidRDefault="009424BC" w:rsidP="002914BD">
      <w:pPr>
        <w:rPr>
          <w:rFonts w:hint="eastAsia"/>
        </w:rPr>
      </w:pPr>
      <w:r w:rsidRPr="009424BC">
        <w:drawing>
          <wp:inline distT="0" distB="0" distL="0" distR="0" wp14:anchorId="2067EF69" wp14:editId="25256BEE">
            <wp:extent cx="6645910" cy="2159000"/>
            <wp:effectExtent l="0" t="0" r="0" b="0"/>
            <wp:docPr id="1367364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64604" name=""/>
                    <pic:cNvPicPr/>
                  </pic:nvPicPr>
                  <pic:blipFill>
                    <a:blip r:embed="rId95"/>
                    <a:stretch>
                      <a:fillRect/>
                    </a:stretch>
                  </pic:blipFill>
                  <pic:spPr>
                    <a:xfrm>
                      <a:off x="0" y="0"/>
                      <a:ext cx="6645910" cy="2159000"/>
                    </a:xfrm>
                    <a:prstGeom prst="rect">
                      <a:avLst/>
                    </a:prstGeom>
                  </pic:spPr>
                </pic:pic>
              </a:graphicData>
            </a:graphic>
          </wp:inline>
        </w:drawing>
      </w:r>
    </w:p>
    <w:p w14:paraId="2B46D011" w14:textId="5F185354" w:rsidR="002914BD" w:rsidRDefault="002914BD" w:rsidP="002914BD">
      <w:pPr>
        <w:rPr>
          <w:rFonts w:hint="eastAsia"/>
        </w:rPr>
      </w:pPr>
      <w:r>
        <w:t>NEXT资本支持的80%折旧归入加盟物业，20%归入直营物业，租金支持摊销全部扣减加盟利润。这一分配用于利润展示，不改变公司合计费用。</w:t>
      </w:r>
    </w:p>
    <w:p w14:paraId="56A8D32C" w14:textId="77777777" w:rsidR="002914BD" w:rsidRDefault="002914BD" w:rsidP="002914BD">
      <w:r>
        <w:t>现金投入在初期较集中，利润表费用则随着累计投入逐步增加。因此，不能因前两年净利润受影响较小，就认为NEXT对现金流的影响也小；2031年即使当年现金投入减少，存量投入形成的摊销及折旧仍继续上升。</w:t>
      </w:r>
    </w:p>
    <w:p w14:paraId="6C19698F" w14:textId="77777777" w:rsidR="00195089" w:rsidRDefault="00195089" w:rsidP="002914BD"/>
    <w:p w14:paraId="7F5B7B63" w14:textId="60D3E27C" w:rsidR="002914BD" w:rsidRDefault="002914BD">
      <w:pPr>
        <w:pStyle w:val="a9"/>
        <w:numPr>
          <w:ilvl w:val="0"/>
          <w:numId w:val="71"/>
        </w:numPr>
        <w:rPr>
          <w:rFonts w:hint="eastAsia"/>
        </w:rPr>
      </w:pPr>
      <w:r>
        <w:t>费用与其他损益采用分项预测</w:t>
      </w:r>
    </w:p>
    <w:p w14:paraId="656DFF28" w14:textId="3BA49C71" w:rsidR="002914BD" w:rsidRDefault="002914BD" w:rsidP="002914BD">
      <w:pPr>
        <w:rPr>
          <w:rFonts w:hint="eastAsia"/>
        </w:rPr>
      </w:pPr>
      <w:r>
        <w:t>总部费用率由2027年的2.2%逐年降至2031年的2.0%，低于公司2030年约1.9%的目标改善幅度，保留执行折扣。费用率下降并不代表费用绝对额下降，体系销售增长仍带动SG&amp;A增加。</w:t>
      </w:r>
    </w:p>
    <w:p w14:paraId="47E290A6" w14:textId="77777777" w:rsidR="002914BD" w:rsidRDefault="002914BD" w:rsidP="002914BD">
      <w:r>
        <w:t>利息费用前两年增长5%、后三年增长3%。近期参考2026年4%–6%指引；后期假设融资成本与债务规模增长趋缓，不预设显著降息收益。有效税率统一采用22%，避免延续单季度税务收益。</w:t>
      </w:r>
    </w:p>
    <w:p w14:paraId="695E7737" w14:textId="2EA5AC6C" w:rsidR="002914BD" w:rsidRDefault="00195089" w:rsidP="002914BD">
      <w:r w:rsidRPr="00195089">
        <w:lastRenderedPageBreak/>
        <w:drawing>
          <wp:inline distT="0" distB="0" distL="0" distR="0" wp14:anchorId="24D46B9A" wp14:editId="25EE3F68">
            <wp:extent cx="6645910" cy="3761105"/>
            <wp:effectExtent l="0" t="0" r="0" b="0"/>
            <wp:docPr id="622889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89251" name=""/>
                    <pic:cNvPicPr/>
                  </pic:nvPicPr>
                  <pic:blipFill>
                    <a:blip r:embed="rId96"/>
                    <a:stretch>
                      <a:fillRect/>
                    </a:stretch>
                  </pic:blipFill>
                  <pic:spPr>
                    <a:xfrm>
                      <a:off x="0" y="0"/>
                      <a:ext cx="6645910" cy="3761105"/>
                    </a:xfrm>
                    <a:prstGeom prst="rect">
                      <a:avLst/>
                    </a:prstGeom>
                  </pic:spPr>
                </pic:pic>
              </a:graphicData>
            </a:graphic>
          </wp:inline>
        </w:drawing>
      </w:r>
    </w:p>
    <w:p w14:paraId="5A7EB7D3" w14:textId="7115345D" w:rsidR="002914BD" w:rsidRDefault="002914BD" w:rsidP="002914BD">
      <w:pPr>
        <w:rPr>
          <w:rFonts w:hint="eastAsia"/>
        </w:rPr>
      </w:pPr>
      <w:r>
        <w:t>联营企业收益主要对应中国、日本等权益法投资，预测每年增长5%，与加盟特许权使用费分别计算。其他收入扣其他餐厅费用的净贡献保持稳定，不将技术费用回收机制视为额外高增长利润来源。</w:t>
      </w:r>
    </w:p>
    <w:p w14:paraId="37E697FD" w14:textId="5586CB4B" w:rsidR="002914BD" w:rsidRDefault="002914BD" w:rsidP="002914BD">
      <w:pPr>
        <w:rPr>
          <w:rFonts w:hint="eastAsia"/>
        </w:rPr>
      </w:pPr>
      <w:r>
        <w:t>资产处置等净费用以近年约1亿美元水平正常化，不从FY2026较低的净费用基数机械递增。组织重组项目预计于2027年完成，因此2027年仍保留1.5亿美元费用，2028年起保留5,000万美元的其他重组及减值容错。这不是将现有项目无限延长，也不是将已计提、未来支付的费用重复计入利润表。</w:t>
      </w:r>
    </w:p>
    <w:p w14:paraId="24619CBA" w14:textId="77777777" w:rsidR="002914BD" w:rsidRDefault="002914BD" w:rsidP="002914BD">
      <w:r>
        <w:t>餐厅出售收益预测为零，是不提前计入未确定交易收益的处理，并非判断未来不会发生出售。</w:t>
      </w:r>
    </w:p>
    <w:p w14:paraId="4FC660EA" w14:textId="77777777" w:rsidR="002914BD" w:rsidRDefault="002914BD" w:rsidP="002914BD"/>
    <w:p w14:paraId="4F4EDFE0" w14:textId="50FF3710" w:rsidR="002914BD" w:rsidRDefault="002914BD">
      <w:pPr>
        <w:pStyle w:val="a9"/>
        <w:numPr>
          <w:ilvl w:val="0"/>
          <w:numId w:val="71"/>
        </w:numPr>
        <w:rPr>
          <w:rFonts w:hint="eastAsia"/>
        </w:rPr>
      </w:pPr>
      <w:r>
        <w:t>从餐厅利润推导公司净利润</w:t>
      </w:r>
    </w:p>
    <w:p w14:paraId="703CBB69" w14:textId="75B5CDFB" w:rsidR="002914BD" w:rsidRDefault="00ED6BA5" w:rsidP="00ED6BA5">
      <w:r w:rsidRPr="00ED6BA5">
        <w:lastRenderedPageBreak/>
        <w:drawing>
          <wp:inline distT="0" distB="0" distL="0" distR="0" wp14:anchorId="733F07D4" wp14:editId="026EF4E6">
            <wp:extent cx="6645910" cy="4491990"/>
            <wp:effectExtent l="0" t="0" r="0" b="3810"/>
            <wp:docPr id="952491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91713" name=""/>
                    <pic:cNvPicPr/>
                  </pic:nvPicPr>
                  <pic:blipFill>
                    <a:blip r:embed="rId97"/>
                    <a:stretch>
                      <a:fillRect/>
                    </a:stretch>
                  </pic:blipFill>
                  <pic:spPr>
                    <a:xfrm>
                      <a:off x="0" y="0"/>
                      <a:ext cx="6645910" cy="4491990"/>
                    </a:xfrm>
                    <a:prstGeom prst="rect">
                      <a:avLst/>
                    </a:prstGeom>
                  </pic:spPr>
                </pic:pic>
              </a:graphicData>
            </a:graphic>
          </wp:inline>
        </w:drawing>
      </w:r>
    </w:p>
    <w:p w14:paraId="64EEADE4" w14:textId="77777777" w:rsidR="002914BD" w:rsidRDefault="002914BD" w:rsidP="002914BD">
      <w:r>
        <w:t>前两年，加盟利润增长受到直营利润转出、总部费用和利息增加、出售收益不再预设等因素抵消，净利润增长有限。后期，同店恢复和费用率改善逐步兑现，转加盟对直营利润的阶段性影响减弱，净利润增长趋于加快。但NEXT累计费用仍持续增加，因此未假设全部效率收益直接落入公司净利润。</w:t>
      </w:r>
    </w:p>
    <w:p w14:paraId="339202AF" w14:textId="77777777" w:rsidR="002914BD" w:rsidRDefault="002914BD" w:rsidP="002914BD"/>
    <w:p w14:paraId="037DBAE9" w14:textId="77777777" w:rsidR="002914BD" w:rsidRDefault="002914BD" w:rsidP="002914BD">
      <w:r>
        <w:t>从逐年经营预测提取增速：</w:t>
      </w:r>
    </w:p>
    <w:p w14:paraId="3885E518" w14:textId="604AF8F9" w:rsidR="002914BD" w:rsidRDefault="006A34E4" w:rsidP="002914BD">
      <w:r w:rsidRPr="006A34E4">
        <w:drawing>
          <wp:inline distT="0" distB="0" distL="0" distR="0" wp14:anchorId="373E437F" wp14:editId="1CBB53F2">
            <wp:extent cx="6645910" cy="1397635"/>
            <wp:effectExtent l="0" t="0" r="0" b="0"/>
            <wp:docPr id="854158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58950" name=""/>
                    <pic:cNvPicPr/>
                  </pic:nvPicPr>
                  <pic:blipFill>
                    <a:blip r:embed="rId98"/>
                    <a:stretch>
                      <a:fillRect/>
                    </a:stretch>
                  </pic:blipFill>
                  <pic:spPr>
                    <a:xfrm>
                      <a:off x="0" y="0"/>
                      <a:ext cx="6645910" cy="1397635"/>
                    </a:xfrm>
                    <a:prstGeom prst="rect">
                      <a:avLst/>
                    </a:prstGeom>
                  </pic:spPr>
                </pic:pic>
              </a:graphicData>
            </a:graphic>
          </wp:inline>
        </w:drawing>
      </w:r>
    </w:p>
    <w:p w14:paraId="03B2AC07" w14:textId="77777777" w:rsidR="002914BD" w:rsidRDefault="002914BD" w:rsidP="002914BD">
      <w:r>
        <w:t>这一处理先预测经营驱动和年度利润，再提取增速，不以预设净利润CAGR倒推经营结果。</w:t>
      </w:r>
    </w:p>
    <w:p w14:paraId="787E4801" w14:textId="77777777" w:rsidR="002914BD" w:rsidRDefault="002914BD" w:rsidP="002914BD"/>
    <w:p w14:paraId="1F9D48CC" w14:textId="59902402" w:rsidR="002914BD" w:rsidRPr="006A34E4" w:rsidRDefault="002914BD">
      <w:pPr>
        <w:pStyle w:val="a9"/>
        <w:numPr>
          <w:ilvl w:val="0"/>
          <w:numId w:val="70"/>
        </w:numPr>
        <w:rPr>
          <w:b/>
          <w:bCs/>
        </w:rPr>
      </w:pPr>
      <w:r w:rsidRPr="006A34E4">
        <w:rPr>
          <w:b/>
          <w:bCs/>
        </w:rPr>
        <w:t>缩股、现金转换与分红假设</w:t>
      </w:r>
    </w:p>
    <w:p w14:paraId="17FCD8AE" w14:textId="469DEA3B" w:rsidR="002914BD" w:rsidRDefault="00D0468F" w:rsidP="002914BD">
      <w:r w:rsidRPr="00D0468F">
        <w:lastRenderedPageBreak/>
        <w:drawing>
          <wp:inline distT="0" distB="0" distL="0" distR="0" wp14:anchorId="332FBB24" wp14:editId="19B1C5FD">
            <wp:extent cx="6645910" cy="2221230"/>
            <wp:effectExtent l="0" t="0" r="0" b="1270"/>
            <wp:docPr id="1648469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69859" name=""/>
                    <pic:cNvPicPr/>
                  </pic:nvPicPr>
                  <pic:blipFill>
                    <a:blip r:embed="rId99"/>
                    <a:stretch>
                      <a:fillRect/>
                    </a:stretch>
                  </pic:blipFill>
                  <pic:spPr>
                    <a:xfrm>
                      <a:off x="0" y="0"/>
                      <a:ext cx="6645910" cy="2221230"/>
                    </a:xfrm>
                    <a:prstGeom prst="rect">
                      <a:avLst/>
                    </a:prstGeom>
                  </pic:spPr>
                </pic:pic>
              </a:graphicData>
            </a:graphic>
          </wp:inline>
        </w:drawing>
      </w:r>
    </w:p>
    <w:p w14:paraId="61B02257" w14:textId="619BEF39" w:rsidR="002914BD" w:rsidRDefault="002914BD">
      <w:pPr>
        <w:pStyle w:val="a9"/>
        <w:numPr>
          <w:ilvl w:val="0"/>
          <w:numId w:val="72"/>
        </w:numPr>
        <w:rPr>
          <w:rFonts w:hint="eastAsia"/>
        </w:rPr>
      </w:pPr>
      <w:r>
        <w:t>净缩股温和恢复</w:t>
      </w:r>
    </w:p>
    <w:p w14:paraId="6ACEF435" w14:textId="363536A6" w:rsidR="002914BD" w:rsidRDefault="002914BD" w:rsidP="002914BD">
      <w:pPr>
        <w:rPr>
          <w:rFonts w:hint="eastAsia"/>
        </w:rPr>
      </w:pPr>
      <w:r>
        <w:t>FY2023–FY2025稀释平均股数下降的年化幅度约1.1%，最近一年期末流通股净减少约0.84%。考虑NEXT初期投入和债务续作，前两年采用0.5%，后三年恢复至0.8%，不假设激进回购。</w:t>
      </w:r>
    </w:p>
    <w:p w14:paraId="207B78C3" w14:textId="77777777" w:rsidR="002914BD" w:rsidRDefault="002914BD" w:rsidP="002914BD">
      <w:r>
        <w:t>缩股提高EPS增长，而不改变公司净利润本身。估值页按两阶段净利润增速平滑计算，并以模型稀释平均股数推进：</w:t>
      </w:r>
    </w:p>
    <w:p w14:paraId="4141B3F3" w14:textId="7D0CFDC4" w:rsidR="002914BD" w:rsidRDefault="002C1A36" w:rsidP="002914BD">
      <w:pPr>
        <w:rPr>
          <w:rFonts w:hint="eastAsia"/>
        </w:rPr>
      </w:pPr>
      <w:r w:rsidRPr="002C1A36">
        <w:drawing>
          <wp:inline distT="0" distB="0" distL="0" distR="0" wp14:anchorId="54E8CB2F" wp14:editId="0E10BB8B">
            <wp:extent cx="6645910" cy="2144395"/>
            <wp:effectExtent l="0" t="0" r="0" b="1905"/>
            <wp:docPr id="28305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5951" name=""/>
                    <pic:cNvPicPr/>
                  </pic:nvPicPr>
                  <pic:blipFill>
                    <a:blip r:embed="rId100"/>
                    <a:stretch>
                      <a:fillRect/>
                    </a:stretch>
                  </pic:blipFill>
                  <pic:spPr>
                    <a:xfrm>
                      <a:off x="0" y="0"/>
                      <a:ext cx="6645910" cy="2144395"/>
                    </a:xfrm>
                    <a:prstGeom prst="rect">
                      <a:avLst/>
                    </a:prstGeom>
                  </pic:spPr>
                </pic:pic>
              </a:graphicData>
            </a:graphic>
          </wp:inline>
        </w:drawing>
      </w:r>
    </w:p>
    <w:p w14:paraId="17ABC57C" w14:textId="76703F7C" w:rsidR="002914BD" w:rsidRDefault="002914BD" w:rsidP="002914BD">
      <w:pPr>
        <w:rPr>
          <w:rFonts w:hint="eastAsia"/>
        </w:rPr>
      </w:pPr>
      <w:r>
        <w:t>平滑不会保留每一年的经营利润路径，尤其2027年与逐年预测存在差异；但第二年、第五年的利润终值分别仅相差约150万、650万美元。与卖方年度EPS预测比较时，应优先使用逐年经营推导EPS；IRR则与估值页的两阶段平滑路径一致。两类EPS均使用模型股数近似，并非单独构建的逐季度稀释股数预测。</w:t>
      </w:r>
    </w:p>
    <w:p w14:paraId="33C3F0E7" w14:textId="77777777" w:rsidR="002914BD" w:rsidRDefault="002914BD" w:rsidP="002914BD">
      <w:r>
        <w:t>估值路径下，前两年EPS CAGR约3.2%，完整五年约5.0%，高于同期公司净利润增速，差额来自净缩股。</w:t>
      </w:r>
    </w:p>
    <w:p w14:paraId="7EFD9300" w14:textId="77777777" w:rsidR="002914BD" w:rsidRDefault="002914BD" w:rsidP="002914BD"/>
    <w:p w14:paraId="7164EA8D" w14:textId="62C7A3E1" w:rsidR="002914BD" w:rsidRDefault="002914BD">
      <w:pPr>
        <w:pStyle w:val="a9"/>
        <w:numPr>
          <w:ilvl w:val="0"/>
          <w:numId w:val="72"/>
        </w:numPr>
        <w:rPr>
          <w:rFonts w:hint="eastAsia"/>
        </w:rPr>
      </w:pPr>
      <w:r>
        <w:t>FCF转换率包含NEXT，但仍需实际现金流验证</w:t>
      </w:r>
    </w:p>
    <w:p w14:paraId="2766B2C3" w14:textId="33D0B8EE" w:rsidR="002914BD" w:rsidRDefault="002914BD" w:rsidP="002914BD">
      <w:pPr>
        <w:rPr>
          <w:rFonts w:hint="eastAsia"/>
        </w:rPr>
      </w:pPr>
      <w:r>
        <w:t>FY2019–FY2025累计FCF／净利润约88.6%，FY2023–FY2025约83.6%，2026年上半年约85.3%。前两年82%接近近期指引，后三年86%接近公司2030年目标；但从2029年即达到86%，属于提前兑现的分析假设。</w:t>
      </w:r>
    </w:p>
    <w:p w14:paraId="43DCF6C6" w14:textId="6953491E" w:rsidR="002914BD" w:rsidRDefault="002914BD" w:rsidP="002914BD">
      <w:pPr>
        <w:rPr>
          <w:rFonts w:hint="eastAsia"/>
        </w:rPr>
      </w:pPr>
      <w:r>
        <w:t>模型中的FCF转换率定义为NEXT现金影响之后的转换率。资本支持已计入资本开支，租金支持应体现为经营现金流减少，不得只计算其年度摊销。2027–2030年，常规资本开支加全部NEXT支持的年度现金需求为42.5亿美元，其中租金支持8.125亿美元、含NEXT资本支持的资本开支34.375亿美元。</w:t>
      </w:r>
    </w:p>
    <w:p w14:paraId="401F0F97" w14:textId="3B28E8C1" w:rsidR="002914BD" w:rsidRDefault="002914BD" w:rsidP="002914BD">
      <w:pPr>
        <w:rPr>
          <w:rFonts w:hint="eastAsia"/>
        </w:rPr>
      </w:pPr>
      <w:r>
        <w:t>当前模型以净利润乘转换率预测FCF，再反推所需OCF。2027–2031年所需OCF／净利润分别约120.1%、</w:t>
      </w:r>
      <w:r>
        <w:lastRenderedPageBreak/>
        <w:t>118.6%、120.9%、119.1%、115.2%。该范围具有历史参照，但反推计算不能独立证明其可实现，特别是NEXT初期现金支付远高于费用确认。</w:t>
      </w:r>
    </w:p>
    <w:p w14:paraId="02A5DBA4" w14:textId="77777777" w:rsidR="002914BD" w:rsidRDefault="002914BD" w:rsidP="002914BD">
      <w:r>
        <w:t>因此，82%／86%保留为基准假设，后续需要以实际NEXT支付、税款、营运资本和资本开支验证。当前模型中，降低转换率不会自动降低IRR；若现金约束恶化，需要同步调整缩股或分红，保持估值与资本分配的一致性。</w:t>
      </w:r>
    </w:p>
    <w:p w14:paraId="2FE7D681" w14:textId="77777777" w:rsidR="002914BD" w:rsidRDefault="002914BD" w:rsidP="002914BD"/>
    <w:p w14:paraId="2BFC8637" w14:textId="10805D66" w:rsidR="002914BD" w:rsidRDefault="002914BD">
      <w:pPr>
        <w:pStyle w:val="a9"/>
        <w:numPr>
          <w:ilvl w:val="0"/>
          <w:numId w:val="72"/>
        </w:numPr>
        <w:rPr>
          <w:rFonts w:hint="eastAsia"/>
        </w:rPr>
      </w:pPr>
      <w:r>
        <w:t>分红与回购可以覆盖，但本金偿还依赖续作</w:t>
      </w:r>
    </w:p>
    <w:p w14:paraId="02AFBAC7" w14:textId="278BBC9E" w:rsidR="002914BD" w:rsidRDefault="002914BD" w:rsidP="002914BD">
      <w:pPr>
        <w:rPr>
          <w:rFonts w:hint="eastAsia"/>
        </w:rPr>
      </w:pPr>
      <w:r>
        <w:t>前两年分红支付率采用60%，接近近期水平；后三年降至57%，参考FY2023–FY2025累计约57.5%的历史锚点。比例下降不意味着分红金额停止增长，而是随净利润增长保留更多资金用于回购和其他用途。</w:t>
      </w:r>
    </w:p>
    <w:p w14:paraId="2A9D27A8" w14:textId="77777777" w:rsidR="002914BD" w:rsidRDefault="002914BD" w:rsidP="002914BD">
      <w:r>
        <w:t>资金校验另假设每年0.15%的发行及激励摊薄、回购执行PE为20倍，计算抵消摊薄并实现净缩股所需的毛回购现金：</w:t>
      </w:r>
    </w:p>
    <w:p w14:paraId="7D4A76EE" w14:textId="3A527B82" w:rsidR="002914BD" w:rsidRDefault="008F7F02" w:rsidP="002914BD">
      <w:r w:rsidRPr="008F7F02">
        <w:drawing>
          <wp:inline distT="0" distB="0" distL="0" distR="0" wp14:anchorId="095907E4" wp14:editId="64AE88F8">
            <wp:extent cx="6645910" cy="2560320"/>
            <wp:effectExtent l="0" t="0" r="0" b="5080"/>
            <wp:docPr id="1860313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13577" name=""/>
                    <pic:cNvPicPr/>
                  </pic:nvPicPr>
                  <pic:blipFill>
                    <a:blip r:embed="rId101"/>
                    <a:stretch>
                      <a:fillRect/>
                    </a:stretch>
                  </pic:blipFill>
                  <pic:spPr>
                    <a:xfrm>
                      <a:off x="0" y="0"/>
                      <a:ext cx="6645910" cy="2560320"/>
                    </a:xfrm>
                    <a:prstGeom prst="rect">
                      <a:avLst/>
                    </a:prstGeom>
                  </pic:spPr>
                </pic:pic>
              </a:graphicData>
            </a:graphic>
          </wp:inline>
        </w:drawing>
      </w:r>
    </w:p>
    <w:p w14:paraId="166881BC" w14:textId="044794B2" w:rsidR="002914BD" w:rsidRDefault="002914BD" w:rsidP="002914BD">
      <w:pPr>
        <w:rPr>
          <w:rFonts w:hint="eastAsia"/>
        </w:rPr>
      </w:pPr>
      <w:r>
        <w:t>在既定转换率下，分红和回购可以由内部现金覆盖，但余量不足以同时偿还全部到期本金。因此，模型依赖债务正常续作。续作替换到期融资，与增加净债务不同；若余量用于部分偿债，公司仍可在续作同时降低债务。</w:t>
      </w:r>
    </w:p>
    <w:p w14:paraId="0853AA83" w14:textId="49201588" w:rsidR="002914BD" w:rsidRDefault="002914BD" w:rsidP="002914BD">
      <w:pPr>
        <w:rPr>
          <w:rFonts w:hint="eastAsia"/>
        </w:rPr>
      </w:pPr>
      <w:r>
        <w:t>债务表包含长期授信支持的短债重分类，且未反映2026年发行、偿还及汇率变化，不是最新的逐年现金还本表。2026年上半年，公司已发行长期融资11.59亿美元、偿还5.81亿美元。2031年到期额未在该年报中单列，不能据此假设为零。</w:t>
      </w:r>
    </w:p>
    <w:p w14:paraId="65206A0C" w14:textId="6EE6D19F" w:rsidR="002914BD" w:rsidRDefault="002914BD" w:rsidP="002914BD">
      <w:pPr>
        <w:rPr>
          <w:rFonts w:hint="eastAsia"/>
        </w:rPr>
      </w:pPr>
      <w:r>
        <w:t>截至2026年6月末，公司现金及等价物为8.22亿美元，有息债务约398.63亿美元。现金需要保留经营用途；2025年末披露的40亿美元未使用授信于2028年6月到期，延续情况亦需跟踪。普通经营租金和现金利息已体现在OCF中，不重复扣减，但融资租赁本金、非资本开支类投资及其他必要现金用途，还需在FCF之外考虑。</w:t>
      </w:r>
    </w:p>
    <w:p w14:paraId="279132C4" w14:textId="77777777" w:rsidR="002914BD" w:rsidRDefault="002914BD" w:rsidP="002914BD">
      <w:r>
        <w:t>据此，资金校验支持现有分红和温和缩股，但不支持“全部现金义务均由当年FCF覆盖”的结论。若现金转换或融资条件弱于预期，应优先降低回购，而非无条件维持净缩股目标。</w:t>
      </w:r>
    </w:p>
    <w:p w14:paraId="08554BF8" w14:textId="77777777" w:rsidR="002914BD" w:rsidRDefault="002914BD" w:rsidP="002914BD"/>
    <w:p w14:paraId="5A7C092F" w14:textId="36CC10D6" w:rsidR="002914BD" w:rsidRPr="003E0006" w:rsidRDefault="002914BD">
      <w:pPr>
        <w:pStyle w:val="a9"/>
        <w:numPr>
          <w:ilvl w:val="0"/>
          <w:numId w:val="73"/>
        </w:numPr>
        <w:rPr>
          <w:rFonts w:hint="eastAsia"/>
          <w:b/>
          <w:bCs/>
        </w:rPr>
      </w:pPr>
      <w:r w:rsidRPr="003E0006">
        <w:rPr>
          <w:b/>
          <w:bCs/>
        </w:rPr>
        <w:t>退出PE与估值结果</w:t>
      </w:r>
    </w:p>
    <w:p w14:paraId="3E407A07" w14:textId="1B197C1F" w:rsidR="002914BD" w:rsidRDefault="002914BD">
      <w:pPr>
        <w:pStyle w:val="a9"/>
        <w:numPr>
          <w:ilvl w:val="0"/>
          <w:numId w:val="74"/>
        </w:numPr>
        <w:rPr>
          <w:rFonts w:hint="eastAsia"/>
        </w:rPr>
      </w:pPr>
      <w:r>
        <w:t>20倍PE属于基准定价判断</w:t>
      </w:r>
    </w:p>
    <w:p w14:paraId="006274C0" w14:textId="4DAEB7D6" w:rsidR="002914BD" w:rsidRDefault="002914BD" w:rsidP="002914BD">
      <w:pPr>
        <w:rPr>
          <w:rFonts w:hint="eastAsia"/>
        </w:rPr>
      </w:pPr>
      <w:r>
        <w:lastRenderedPageBreak/>
        <w:t>麦当劳特许经营体系的利润持续性、全球网络及现金生成能力，可以支持一定估值溢价。但近期需求修复、NEXT执行与债务续作约束，限制了对较高增长倍数的采用。</w:t>
      </w:r>
    </w:p>
    <w:p w14:paraId="2B5DDC9D" w14:textId="42CF5B44" w:rsidR="002914BD" w:rsidRDefault="002914BD" w:rsidP="002914BD">
      <w:pPr>
        <w:rPr>
          <w:rFonts w:hint="eastAsia"/>
        </w:rPr>
      </w:pPr>
      <w:r>
        <w:t>20倍PE对应5%的利润收益率；按82%／86%的FCF转换率，对应约4.1%／4.3%的FCF收益率。与预测增长、净缩股和现金分红结合，当前模型形成约9%–10%的年化回报，尚不足以满足15%的要求。</w:t>
      </w:r>
    </w:p>
    <w:p w14:paraId="4AE54502" w14:textId="77777777" w:rsidR="002914BD" w:rsidRDefault="002914BD" w:rsidP="002914BD">
      <w:r>
        <w:t>输入市值对应FY2026预测PE约18.72倍，按20倍退出仍隐含约6.8%的估值提升。因此，基准回报包含一定估值修复，并非完全来自经营增长。目前尚缺同口径、可核验的长期PE分布，不将20倍表述为历史均值或历史低位。</w:t>
      </w:r>
    </w:p>
    <w:p w14:paraId="58952CA0" w14:textId="77777777" w:rsidR="002914BD" w:rsidRDefault="002914BD" w:rsidP="002914BD"/>
    <w:p w14:paraId="7309D6AF" w14:textId="2D589405" w:rsidR="002914BD" w:rsidRDefault="002914BD">
      <w:pPr>
        <w:pStyle w:val="a9"/>
        <w:numPr>
          <w:ilvl w:val="0"/>
          <w:numId w:val="74"/>
        </w:numPr>
        <w:rPr>
          <w:rFonts w:hint="eastAsia"/>
        </w:rPr>
      </w:pPr>
      <w:r>
        <w:t>基准估值结果</w:t>
      </w:r>
    </w:p>
    <w:p w14:paraId="01E646A7" w14:textId="6E418742" w:rsidR="002914BD" w:rsidRDefault="003E0006" w:rsidP="002914BD">
      <w:r w:rsidRPr="003E0006">
        <w:drawing>
          <wp:inline distT="0" distB="0" distL="0" distR="0" wp14:anchorId="62EECF55" wp14:editId="79B4175A">
            <wp:extent cx="6645910" cy="2553335"/>
            <wp:effectExtent l="0" t="0" r="0" b="0"/>
            <wp:docPr id="1474483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83816" name=""/>
                    <pic:cNvPicPr/>
                  </pic:nvPicPr>
                  <pic:blipFill>
                    <a:blip r:embed="rId102"/>
                    <a:stretch>
                      <a:fillRect/>
                    </a:stretch>
                  </pic:blipFill>
                  <pic:spPr>
                    <a:xfrm>
                      <a:off x="0" y="0"/>
                      <a:ext cx="6645910" cy="2553335"/>
                    </a:xfrm>
                    <a:prstGeom prst="rect">
                      <a:avLst/>
                    </a:prstGeom>
                  </pic:spPr>
                </pic:pic>
              </a:graphicData>
            </a:graphic>
          </wp:inline>
        </w:drawing>
      </w:r>
    </w:p>
    <w:p w14:paraId="4AB5A6ED" w14:textId="1F7E97F8" w:rsidR="002914BD" w:rsidRDefault="002914BD" w:rsidP="002914BD">
      <w:pPr>
        <w:rPr>
          <w:rFonts w:hint="eastAsia"/>
        </w:rPr>
      </w:pPr>
      <w:r>
        <w:t>退出价值按基期持有股份折算，包含净缩股提高每股价值的影响，不能直接等同于未来公司的整体总市值。累计分红同样按持股不变、流通股数减少后的每股分红计算，回购现金不再另行加总。</w:t>
      </w:r>
    </w:p>
    <w:p w14:paraId="35D1AF62" w14:textId="77777777" w:rsidR="002914BD" w:rsidRDefault="002914BD" w:rsidP="002914BD">
      <w:r>
        <w:t>五年IRR略低于两年，主要是相同估值提升在更长时间内实现，对年化回报的贡献被摊薄。20倍相对18.72倍的提升，按两年、五年年化分别约3.4%、1.3%。同时，5.4%仅是后三年净利润增速，完整五年还包含前两年2.7%的较慢增长。上述影响并非可直接相加的精确IRR分解。</w:t>
      </w:r>
    </w:p>
    <w:p w14:paraId="484221E9" w14:textId="77777777" w:rsidR="002914BD" w:rsidRDefault="002914BD" w:rsidP="002914BD"/>
    <w:p w14:paraId="401F809D" w14:textId="6FA4118F" w:rsidR="002914BD" w:rsidRDefault="002914BD">
      <w:pPr>
        <w:pStyle w:val="a9"/>
        <w:numPr>
          <w:ilvl w:val="0"/>
          <w:numId w:val="74"/>
        </w:numPr>
        <w:rPr>
          <w:rFonts w:hint="eastAsia"/>
        </w:rPr>
      </w:pPr>
      <w:r>
        <w:t>退出估值敏感性</w:t>
      </w:r>
    </w:p>
    <w:p w14:paraId="1395F09D" w14:textId="77777777" w:rsidR="002914BD" w:rsidRDefault="002914BD" w:rsidP="002914BD">
      <w:r>
        <w:t>保持其他基准参数不变，仅调整退出PE：</w:t>
      </w:r>
    </w:p>
    <w:p w14:paraId="3CD49714" w14:textId="50DB46A0" w:rsidR="002914BD" w:rsidRDefault="00973A91" w:rsidP="002914BD">
      <w:r w:rsidRPr="00973A91">
        <w:drawing>
          <wp:inline distT="0" distB="0" distL="0" distR="0" wp14:anchorId="07315453" wp14:editId="092A52A0">
            <wp:extent cx="6645910" cy="1762760"/>
            <wp:effectExtent l="0" t="0" r="0" b="2540"/>
            <wp:docPr id="390082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82975" name=""/>
                    <pic:cNvPicPr/>
                  </pic:nvPicPr>
                  <pic:blipFill>
                    <a:blip r:embed="rId103"/>
                    <a:stretch>
                      <a:fillRect/>
                    </a:stretch>
                  </pic:blipFill>
                  <pic:spPr>
                    <a:xfrm>
                      <a:off x="0" y="0"/>
                      <a:ext cx="6645910" cy="1762760"/>
                    </a:xfrm>
                    <a:prstGeom prst="rect">
                      <a:avLst/>
                    </a:prstGeom>
                  </pic:spPr>
                </pic:pic>
              </a:graphicData>
            </a:graphic>
          </wp:inline>
        </w:drawing>
      </w:r>
    </w:p>
    <w:p w14:paraId="428CC0B6" w14:textId="525DEE60" w:rsidR="00B13DCB" w:rsidRDefault="002914BD" w:rsidP="00144C73">
      <w:pPr>
        <w:rPr>
          <w:rFonts w:hint="eastAsia"/>
        </w:rPr>
      </w:pPr>
      <w:r>
        <w:t>两年回报对退出PE尤为敏感，达到15%需要约22倍退出估值；五年即使按22倍退出，回报仍约11.5%。因</w:t>
      </w:r>
      <w:r>
        <w:lastRenderedPageBreak/>
        <w:t>此，以15%为要求回报率时，降低买入价格比提高退出估值假设更有依据。</w:t>
      </w:r>
    </w:p>
    <w:p w14:paraId="7581FF9C" w14:textId="77777777" w:rsidR="00B13DCB" w:rsidRDefault="00B13DCB" w:rsidP="00144C73"/>
    <w:p w14:paraId="5955CD01" w14:textId="77777777" w:rsidR="00B13DCB" w:rsidRDefault="00B13DCB" w:rsidP="00144C73"/>
    <w:p w14:paraId="4BACFB43" w14:textId="77777777" w:rsidR="00B13DCB" w:rsidRPr="00776F99" w:rsidRDefault="00B13DCB" w:rsidP="00144C73">
      <w:pPr>
        <w:rPr>
          <w:rFonts w:hint="eastAsia"/>
        </w:rPr>
      </w:pPr>
    </w:p>
    <w:sectPr w:rsidR="00B13DCB" w:rsidRPr="00776F99" w:rsidSect="00313DAE">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5pt;height:15.05pt" o:bullet="t">
        <v:imagedata r:id="rId1" o:title="mso005A0C6D"/>
      </v:shape>
    </w:pict>
  </w:numPicBullet>
  <w:abstractNum w:abstractNumId="0" w15:restartNumberingAfterBreak="0">
    <w:nsid w:val="02262602"/>
    <w:multiLevelType w:val="hybridMultilevel"/>
    <w:tmpl w:val="2A964B34"/>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 w15:restartNumberingAfterBreak="0">
    <w:nsid w:val="046C44EE"/>
    <w:multiLevelType w:val="hybridMultilevel"/>
    <w:tmpl w:val="0EF4E4E2"/>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6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04AE27A8"/>
    <w:multiLevelType w:val="hybridMultilevel"/>
    <w:tmpl w:val="1ABE4A4C"/>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6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 w15:restartNumberingAfterBreak="0">
    <w:nsid w:val="04FD197A"/>
    <w:multiLevelType w:val="hybridMultilevel"/>
    <w:tmpl w:val="CE0C59F0"/>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6FD477F"/>
    <w:multiLevelType w:val="hybridMultilevel"/>
    <w:tmpl w:val="10C6FED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 w15:restartNumberingAfterBreak="0">
    <w:nsid w:val="09CC139E"/>
    <w:multiLevelType w:val="hybridMultilevel"/>
    <w:tmpl w:val="4908077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0A742F86"/>
    <w:multiLevelType w:val="hybridMultilevel"/>
    <w:tmpl w:val="D51E8DA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0B5D2578"/>
    <w:multiLevelType w:val="hybridMultilevel"/>
    <w:tmpl w:val="23CC8FE0"/>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6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8" w15:restartNumberingAfterBreak="0">
    <w:nsid w:val="0B794E59"/>
    <w:multiLevelType w:val="hybridMultilevel"/>
    <w:tmpl w:val="402AD6F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0E0161E0"/>
    <w:multiLevelType w:val="hybridMultilevel"/>
    <w:tmpl w:val="4A14370E"/>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0" w15:restartNumberingAfterBreak="0">
    <w:nsid w:val="0E3F35AC"/>
    <w:multiLevelType w:val="hybridMultilevel"/>
    <w:tmpl w:val="800021EE"/>
    <w:lvl w:ilvl="0" w:tplc="0409000B">
      <w:start w:val="1"/>
      <w:numFmt w:val="bullet"/>
      <w:lvlText w:val=""/>
      <w:lvlJc w:val="left"/>
      <w:pPr>
        <w:ind w:left="440" w:hanging="440"/>
      </w:pPr>
      <w:rPr>
        <w:rFonts w:ascii="Wingdings" w:hAnsi="Wingdings" w:hint="default"/>
      </w:rPr>
    </w:lvl>
    <w:lvl w:ilvl="1" w:tplc="93ACD616">
      <w:start w:val="2"/>
      <w:numFmt w:val="bullet"/>
      <w:lvlText w:val="-"/>
      <w:lvlJc w:val="left"/>
      <w:pPr>
        <w:ind w:left="800" w:hanging="360"/>
      </w:pPr>
      <w:rPr>
        <w:rFonts w:ascii="DengXian" w:eastAsia="DengXian" w:hAnsi="DengXian" w:cstheme="minorBidi" w:hint="eastAsia"/>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1" w15:restartNumberingAfterBreak="0">
    <w:nsid w:val="0E5E51BF"/>
    <w:multiLevelType w:val="hybridMultilevel"/>
    <w:tmpl w:val="9BAA479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0E83628D"/>
    <w:multiLevelType w:val="hybridMultilevel"/>
    <w:tmpl w:val="C734C678"/>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3" w15:restartNumberingAfterBreak="0">
    <w:nsid w:val="11F63222"/>
    <w:multiLevelType w:val="hybridMultilevel"/>
    <w:tmpl w:val="200CD9B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4" w15:restartNumberingAfterBreak="0">
    <w:nsid w:val="13BE230B"/>
    <w:multiLevelType w:val="hybridMultilevel"/>
    <w:tmpl w:val="3000CF9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5" w15:restartNumberingAfterBreak="0">
    <w:nsid w:val="140F3680"/>
    <w:multiLevelType w:val="hybridMultilevel"/>
    <w:tmpl w:val="367EDDE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6" w15:restartNumberingAfterBreak="0">
    <w:nsid w:val="14B21F19"/>
    <w:multiLevelType w:val="hybridMultilevel"/>
    <w:tmpl w:val="680AE2F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7" w15:restartNumberingAfterBreak="0">
    <w:nsid w:val="16C8217B"/>
    <w:multiLevelType w:val="hybridMultilevel"/>
    <w:tmpl w:val="57ACC77E"/>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17A41130"/>
    <w:multiLevelType w:val="hybridMultilevel"/>
    <w:tmpl w:val="E52EA224"/>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9" w15:restartNumberingAfterBreak="0">
    <w:nsid w:val="1BB22E94"/>
    <w:multiLevelType w:val="hybridMultilevel"/>
    <w:tmpl w:val="4E8A92EE"/>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0" w15:restartNumberingAfterBreak="0">
    <w:nsid w:val="1D4E6CA4"/>
    <w:multiLevelType w:val="hybridMultilevel"/>
    <w:tmpl w:val="AF143600"/>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1" w15:restartNumberingAfterBreak="0">
    <w:nsid w:val="1D73079E"/>
    <w:multiLevelType w:val="hybridMultilevel"/>
    <w:tmpl w:val="7534EB3A"/>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1DA86281"/>
    <w:multiLevelType w:val="hybridMultilevel"/>
    <w:tmpl w:val="5E96FC54"/>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1E31785B"/>
    <w:multiLevelType w:val="hybridMultilevel"/>
    <w:tmpl w:val="73D427B0"/>
    <w:lvl w:ilvl="0" w:tplc="875AF8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1EDA52E9"/>
    <w:multiLevelType w:val="hybridMultilevel"/>
    <w:tmpl w:val="90C8DCDC"/>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5" w15:restartNumberingAfterBreak="0">
    <w:nsid w:val="21562007"/>
    <w:multiLevelType w:val="hybridMultilevel"/>
    <w:tmpl w:val="D43210E8"/>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6" w15:restartNumberingAfterBreak="0">
    <w:nsid w:val="232F0732"/>
    <w:multiLevelType w:val="hybridMultilevel"/>
    <w:tmpl w:val="AB44C4E6"/>
    <w:lvl w:ilvl="0" w:tplc="B672B6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2B78637F"/>
    <w:multiLevelType w:val="hybridMultilevel"/>
    <w:tmpl w:val="4ADC6D24"/>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6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8" w15:restartNumberingAfterBreak="0">
    <w:nsid w:val="2E0770B8"/>
    <w:multiLevelType w:val="hybridMultilevel"/>
    <w:tmpl w:val="579C8974"/>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6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9" w15:restartNumberingAfterBreak="0">
    <w:nsid w:val="2E442EE5"/>
    <w:multiLevelType w:val="hybridMultilevel"/>
    <w:tmpl w:val="37B80A6C"/>
    <w:lvl w:ilvl="0" w:tplc="EE36329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0" w15:restartNumberingAfterBreak="0">
    <w:nsid w:val="2F0E6DA7"/>
    <w:multiLevelType w:val="hybridMultilevel"/>
    <w:tmpl w:val="B98CB3F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1" w15:restartNumberingAfterBreak="0">
    <w:nsid w:val="306E15FD"/>
    <w:multiLevelType w:val="hybridMultilevel"/>
    <w:tmpl w:val="D1D6A01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30D879C0"/>
    <w:multiLevelType w:val="hybridMultilevel"/>
    <w:tmpl w:val="BA8C30EC"/>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3" w15:restartNumberingAfterBreak="0">
    <w:nsid w:val="31F662BE"/>
    <w:multiLevelType w:val="hybridMultilevel"/>
    <w:tmpl w:val="FF9A4AAE"/>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4" w15:restartNumberingAfterBreak="0">
    <w:nsid w:val="32B04A32"/>
    <w:multiLevelType w:val="hybridMultilevel"/>
    <w:tmpl w:val="3BAA715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5" w15:restartNumberingAfterBreak="0">
    <w:nsid w:val="32EB2E8E"/>
    <w:multiLevelType w:val="hybridMultilevel"/>
    <w:tmpl w:val="798C944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6" w15:restartNumberingAfterBreak="0">
    <w:nsid w:val="33865A28"/>
    <w:multiLevelType w:val="hybridMultilevel"/>
    <w:tmpl w:val="DDB2802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7" w15:restartNumberingAfterBreak="0">
    <w:nsid w:val="37421866"/>
    <w:multiLevelType w:val="hybridMultilevel"/>
    <w:tmpl w:val="DF5E9F26"/>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6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8" w15:restartNumberingAfterBreak="0">
    <w:nsid w:val="3A1C0241"/>
    <w:multiLevelType w:val="hybridMultilevel"/>
    <w:tmpl w:val="48CC3A2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9" w15:restartNumberingAfterBreak="0">
    <w:nsid w:val="3DE95128"/>
    <w:multiLevelType w:val="hybridMultilevel"/>
    <w:tmpl w:val="4FA4AD8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0" w15:restartNumberingAfterBreak="0">
    <w:nsid w:val="428F3A25"/>
    <w:multiLevelType w:val="hybridMultilevel"/>
    <w:tmpl w:val="FD2E6B14"/>
    <w:lvl w:ilvl="0" w:tplc="0E0408CC">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47AD695D"/>
    <w:multiLevelType w:val="hybridMultilevel"/>
    <w:tmpl w:val="C1321A3E"/>
    <w:lvl w:ilvl="0" w:tplc="4B52EE8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493131E0"/>
    <w:multiLevelType w:val="hybridMultilevel"/>
    <w:tmpl w:val="5AACE14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3" w15:restartNumberingAfterBreak="0">
    <w:nsid w:val="4BCB6A21"/>
    <w:multiLevelType w:val="hybridMultilevel"/>
    <w:tmpl w:val="A5F65C7E"/>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4" w15:restartNumberingAfterBreak="0">
    <w:nsid w:val="4D504772"/>
    <w:multiLevelType w:val="hybridMultilevel"/>
    <w:tmpl w:val="0D1A12EE"/>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6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5" w15:restartNumberingAfterBreak="0">
    <w:nsid w:val="4EB81D01"/>
    <w:multiLevelType w:val="hybridMultilevel"/>
    <w:tmpl w:val="F350CB7E"/>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6" w15:restartNumberingAfterBreak="0">
    <w:nsid w:val="4FCB6D56"/>
    <w:multiLevelType w:val="hybridMultilevel"/>
    <w:tmpl w:val="A4E80724"/>
    <w:lvl w:ilvl="0" w:tplc="6106AEF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51392FE3"/>
    <w:multiLevelType w:val="hybridMultilevel"/>
    <w:tmpl w:val="00B45F4E"/>
    <w:lvl w:ilvl="0" w:tplc="C26662AC">
      <w:start w:val="1"/>
      <w:numFmt w:val="decimal"/>
      <w:lvlText w:val="%1."/>
      <w:lvlJc w:val="left"/>
      <w:pPr>
        <w:ind w:left="360" w:hanging="360"/>
      </w:pPr>
      <w:rPr>
        <w:rFonts w:hint="default"/>
      </w:rPr>
    </w:lvl>
    <w:lvl w:ilvl="1" w:tplc="A4FA7ED6">
      <w:start w:val="3"/>
      <w:numFmt w:val="bullet"/>
      <w:lvlText w:val="-"/>
      <w:lvlJc w:val="left"/>
      <w:pPr>
        <w:ind w:left="800" w:hanging="360"/>
      </w:pPr>
      <w:rPr>
        <w:rFonts w:ascii="DengXian" w:eastAsia="DengXian" w:hAnsi="DengXian"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513D66A2"/>
    <w:multiLevelType w:val="hybridMultilevel"/>
    <w:tmpl w:val="544E914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9" w15:restartNumberingAfterBreak="0">
    <w:nsid w:val="52E7416C"/>
    <w:multiLevelType w:val="hybridMultilevel"/>
    <w:tmpl w:val="5D644F8C"/>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0" w15:restartNumberingAfterBreak="0">
    <w:nsid w:val="5835338A"/>
    <w:multiLevelType w:val="hybridMultilevel"/>
    <w:tmpl w:val="F294AFE8"/>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1" w15:restartNumberingAfterBreak="0">
    <w:nsid w:val="5963031B"/>
    <w:multiLevelType w:val="hybridMultilevel"/>
    <w:tmpl w:val="868E70FC"/>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2" w15:restartNumberingAfterBreak="0">
    <w:nsid w:val="5B8D79F8"/>
    <w:multiLevelType w:val="hybridMultilevel"/>
    <w:tmpl w:val="FE70A16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3" w15:restartNumberingAfterBreak="0">
    <w:nsid w:val="5BC43313"/>
    <w:multiLevelType w:val="hybridMultilevel"/>
    <w:tmpl w:val="B0CE3D4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4" w15:restartNumberingAfterBreak="0">
    <w:nsid w:val="5EA65DD9"/>
    <w:multiLevelType w:val="hybridMultilevel"/>
    <w:tmpl w:val="28D83A8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5" w15:restartNumberingAfterBreak="0">
    <w:nsid w:val="5F516768"/>
    <w:multiLevelType w:val="hybridMultilevel"/>
    <w:tmpl w:val="60669908"/>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6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6" w15:restartNumberingAfterBreak="0">
    <w:nsid w:val="601421D6"/>
    <w:multiLevelType w:val="hybridMultilevel"/>
    <w:tmpl w:val="067E8A4E"/>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7" w15:restartNumberingAfterBreak="0">
    <w:nsid w:val="60B26ACA"/>
    <w:multiLevelType w:val="hybridMultilevel"/>
    <w:tmpl w:val="1F8C9AE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8" w15:restartNumberingAfterBreak="0">
    <w:nsid w:val="64363082"/>
    <w:multiLevelType w:val="hybridMultilevel"/>
    <w:tmpl w:val="34F029B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9" w15:restartNumberingAfterBreak="0">
    <w:nsid w:val="64F2680E"/>
    <w:multiLevelType w:val="hybridMultilevel"/>
    <w:tmpl w:val="6AC8002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0" w15:restartNumberingAfterBreak="0">
    <w:nsid w:val="67A037E2"/>
    <w:multiLevelType w:val="hybridMultilevel"/>
    <w:tmpl w:val="34D8A79A"/>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61" w15:restartNumberingAfterBreak="0">
    <w:nsid w:val="69715E0A"/>
    <w:multiLevelType w:val="hybridMultilevel"/>
    <w:tmpl w:val="9AAC461E"/>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6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62" w15:restartNumberingAfterBreak="0">
    <w:nsid w:val="699F3975"/>
    <w:multiLevelType w:val="hybridMultilevel"/>
    <w:tmpl w:val="8D34A396"/>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63" w15:restartNumberingAfterBreak="0">
    <w:nsid w:val="6B416347"/>
    <w:multiLevelType w:val="hybridMultilevel"/>
    <w:tmpl w:val="C3C6072C"/>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4" w15:restartNumberingAfterBreak="0">
    <w:nsid w:val="6D2278D2"/>
    <w:multiLevelType w:val="hybridMultilevel"/>
    <w:tmpl w:val="B70A6C6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5" w15:restartNumberingAfterBreak="0">
    <w:nsid w:val="6D657920"/>
    <w:multiLevelType w:val="hybridMultilevel"/>
    <w:tmpl w:val="3774A800"/>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6" w15:restartNumberingAfterBreak="0">
    <w:nsid w:val="6E993F08"/>
    <w:multiLevelType w:val="hybridMultilevel"/>
    <w:tmpl w:val="CF5EE06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7" w15:restartNumberingAfterBreak="0">
    <w:nsid w:val="6FE56C53"/>
    <w:multiLevelType w:val="hybridMultilevel"/>
    <w:tmpl w:val="0E2AA30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8" w15:restartNumberingAfterBreak="0">
    <w:nsid w:val="703B6686"/>
    <w:multiLevelType w:val="hybridMultilevel"/>
    <w:tmpl w:val="1CF2FB46"/>
    <w:lvl w:ilvl="0" w:tplc="0E0408CC">
      <w:start w:val="1"/>
      <w:numFmt w:val="decimal"/>
      <w:lvlText w:val="%1."/>
      <w:lvlJc w:val="left"/>
      <w:pPr>
        <w:ind w:left="720" w:hanging="360"/>
      </w:pPr>
      <w:rPr>
        <w:rFonts w:hint="eastAsia"/>
      </w:rPr>
    </w:lvl>
    <w:lvl w:ilvl="1" w:tplc="4886CB80">
      <w:start w:val="3"/>
      <w:numFmt w:val="bullet"/>
      <w:lvlText w:val="-"/>
      <w:lvlJc w:val="left"/>
      <w:pPr>
        <w:ind w:left="1160" w:hanging="360"/>
      </w:pPr>
      <w:rPr>
        <w:rFonts w:ascii="DengXian" w:eastAsia="DengXian" w:hAnsi="DengXian" w:cstheme="minorBidi" w:hint="eastAsia"/>
      </w:r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69" w15:restartNumberingAfterBreak="0">
    <w:nsid w:val="706D471D"/>
    <w:multiLevelType w:val="hybridMultilevel"/>
    <w:tmpl w:val="4FDCFBAA"/>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70" w15:restartNumberingAfterBreak="0">
    <w:nsid w:val="709D7641"/>
    <w:multiLevelType w:val="hybridMultilevel"/>
    <w:tmpl w:val="B39AC006"/>
    <w:lvl w:ilvl="0" w:tplc="0E0408CC">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1" w15:restartNumberingAfterBreak="0">
    <w:nsid w:val="73F53BE1"/>
    <w:multiLevelType w:val="hybridMultilevel"/>
    <w:tmpl w:val="AD20487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2" w15:restartNumberingAfterBreak="0">
    <w:nsid w:val="75FA548D"/>
    <w:multiLevelType w:val="hybridMultilevel"/>
    <w:tmpl w:val="C450D3F4"/>
    <w:lvl w:ilvl="0" w:tplc="0409000B">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73" w15:restartNumberingAfterBreak="0">
    <w:nsid w:val="77276134"/>
    <w:multiLevelType w:val="hybridMultilevel"/>
    <w:tmpl w:val="0CB2696A"/>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16cid:durableId="1396396244">
    <w:abstractNumId w:val="8"/>
  </w:num>
  <w:num w:numId="2" w16cid:durableId="1719628866">
    <w:abstractNumId w:val="57"/>
  </w:num>
  <w:num w:numId="3" w16cid:durableId="1004086483">
    <w:abstractNumId w:val="64"/>
  </w:num>
  <w:num w:numId="4" w16cid:durableId="1483542651">
    <w:abstractNumId w:val="59"/>
  </w:num>
  <w:num w:numId="5" w16cid:durableId="2018651002">
    <w:abstractNumId w:val="16"/>
  </w:num>
  <w:num w:numId="6" w16cid:durableId="1755666568">
    <w:abstractNumId w:val="35"/>
  </w:num>
  <w:num w:numId="7" w16cid:durableId="1519663231">
    <w:abstractNumId w:val="14"/>
  </w:num>
  <w:num w:numId="8" w16cid:durableId="549339897">
    <w:abstractNumId w:val="4"/>
  </w:num>
  <w:num w:numId="9" w16cid:durableId="2135521068">
    <w:abstractNumId w:val="72"/>
  </w:num>
  <w:num w:numId="10" w16cid:durableId="499321184">
    <w:abstractNumId w:val="51"/>
  </w:num>
  <w:num w:numId="11" w16cid:durableId="615064634">
    <w:abstractNumId w:val="66"/>
  </w:num>
  <w:num w:numId="12" w16cid:durableId="1285037644">
    <w:abstractNumId w:val="3"/>
  </w:num>
  <w:num w:numId="13" w16cid:durableId="1053694861">
    <w:abstractNumId w:val="30"/>
  </w:num>
  <w:num w:numId="14" w16cid:durableId="400063875">
    <w:abstractNumId w:val="52"/>
  </w:num>
  <w:num w:numId="15" w16cid:durableId="600526685">
    <w:abstractNumId w:val="53"/>
  </w:num>
  <w:num w:numId="16" w16cid:durableId="1559517402">
    <w:abstractNumId w:val="54"/>
  </w:num>
  <w:num w:numId="17" w16cid:durableId="1430613261">
    <w:abstractNumId w:val="58"/>
  </w:num>
  <w:num w:numId="18" w16cid:durableId="1586643446">
    <w:abstractNumId w:val="42"/>
  </w:num>
  <w:num w:numId="19" w16cid:durableId="1047800238">
    <w:abstractNumId w:val="10"/>
  </w:num>
  <w:num w:numId="20" w16cid:durableId="1733699303">
    <w:abstractNumId w:val="15"/>
  </w:num>
  <w:num w:numId="21" w16cid:durableId="1126855527">
    <w:abstractNumId w:val="17"/>
  </w:num>
  <w:num w:numId="22" w16cid:durableId="1241207947">
    <w:abstractNumId w:val="22"/>
  </w:num>
  <w:num w:numId="23" w16cid:durableId="1457719421">
    <w:abstractNumId w:val="47"/>
  </w:num>
  <w:num w:numId="24" w16cid:durableId="512766271">
    <w:abstractNumId w:val="2"/>
  </w:num>
  <w:num w:numId="25" w16cid:durableId="569577659">
    <w:abstractNumId w:val="1"/>
  </w:num>
  <w:num w:numId="26" w16cid:durableId="1196576873">
    <w:abstractNumId w:val="27"/>
  </w:num>
  <w:num w:numId="27" w16cid:durableId="1112358743">
    <w:abstractNumId w:val="55"/>
  </w:num>
  <w:num w:numId="28" w16cid:durableId="915819985">
    <w:abstractNumId w:val="7"/>
  </w:num>
  <w:num w:numId="29" w16cid:durableId="93088059">
    <w:abstractNumId w:val="48"/>
  </w:num>
  <w:num w:numId="30" w16cid:durableId="360128808">
    <w:abstractNumId w:val="39"/>
  </w:num>
  <w:num w:numId="31" w16cid:durableId="1410031199">
    <w:abstractNumId w:val="34"/>
  </w:num>
  <w:num w:numId="32" w16cid:durableId="124474645">
    <w:abstractNumId w:val="32"/>
  </w:num>
  <w:num w:numId="33" w16cid:durableId="1695570036">
    <w:abstractNumId w:val="69"/>
  </w:num>
  <w:num w:numId="34" w16cid:durableId="386952442">
    <w:abstractNumId w:val="18"/>
  </w:num>
  <w:num w:numId="35" w16cid:durableId="192768062">
    <w:abstractNumId w:val="12"/>
  </w:num>
  <w:num w:numId="36" w16cid:durableId="1001935627">
    <w:abstractNumId w:val="56"/>
  </w:num>
  <w:num w:numId="37" w16cid:durableId="2008438215">
    <w:abstractNumId w:val="45"/>
  </w:num>
  <w:num w:numId="38" w16cid:durableId="576596827">
    <w:abstractNumId w:val="70"/>
  </w:num>
  <w:num w:numId="39" w16cid:durableId="104664397">
    <w:abstractNumId w:val="40"/>
  </w:num>
  <w:num w:numId="40" w16cid:durableId="1512447760">
    <w:abstractNumId w:val="67"/>
  </w:num>
  <w:num w:numId="41" w16cid:durableId="961114044">
    <w:abstractNumId w:val="43"/>
  </w:num>
  <w:num w:numId="42" w16cid:durableId="2023511112">
    <w:abstractNumId w:val="5"/>
  </w:num>
  <w:num w:numId="43" w16cid:durableId="1959871103">
    <w:abstractNumId w:val="24"/>
  </w:num>
  <w:num w:numId="44" w16cid:durableId="206067304">
    <w:abstractNumId w:val="28"/>
  </w:num>
  <w:num w:numId="45" w16cid:durableId="1662856670">
    <w:abstractNumId w:val="61"/>
  </w:num>
  <w:num w:numId="46" w16cid:durableId="882449510">
    <w:abstractNumId w:val="36"/>
  </w:num>
  <w:num w:numId="47" w16cid:durableId="1494492936">
    <w:abstractNumId w:val="13"/>
  </w:num>
  <w:num w:numId="48" w16cid:durableId="538973015">
    <w:abstractNumId w:val="68"/>
  </w:num>
  <w:num w:numId="49" w16cid:durableId="578757397">
    <w:abstractNumId w:val="44"/>
  </w:num>
  <w:num w:numId="50" w16cid:durableId="484976541">
    <w:abstractNumId w:val="71"/>
  </w:num>
  <w:num w:numId="51" w16cid:durableId="1737623515">
    <w:abstractNumId w:val="33"/>
  </w:num>
  <w:num w:numId="52" w16cid:durableId="215050914">
    <w:abstractNumId w:val="19"/>
  </w:num>
  <w:num w:numId="53" w16cid:durableId="259338755">
    <w:abstractNumId w:val="20"/>
  </w:num>
  <w:num w:numId="54" w16cid:durableId="1948534977">
    <w:abstractNumId w:val="62"/>
  </w:num>
  <w:num w:numId="55" w16cid:durableId="277301593">
    <w:abstractNumId w:val="49"/>
  </w:num>
  <w:num w:numId="56" w16cid:durableId="1979607597">
    <w:abstractNumId w:val="6"/>
  </w:num>
  <w:num w:numId="57" w16cid:durableId="1595702997">
    <w:abstractNumId w:val="73"/>
  </w:num>
  <w:num w:numId="58" w16cid:durableId="1508013684">
    <w:abstractNumId w:val="0"/>
  </w:num>
  <w:num w:numId="59" w16cid:durableId="631791142">
    <w:abstractNumId w:val="60"/>
  </w:num>
  <w:num w:numId="60" w16cid:durableId="1034499016">
    <w:abstractNumId w:val="31"/>
  </w:num>
  <w:num w:numId="61" w16cid:durableId="132187299">
    <w:abstractNumId w:val="11"/>
  </w:num>
  <w:num w:numId="62" w16cid:durableId="970598233">
    <w:abstractNumId w:val="38"/>
  </w:num>
  <w:num w:numId="63" w16cid:durableId="844637418">
    <w:abstractNumId w:val="37"/>
  </w:num>
  <w:num w:numId="64" w16cid:durableId="1182430472">
    <w:abstractNumId w:val="29"/>
  </w:num>
  <w:num w:numId="65" w16cid:durableId="1633629169">
    <w:abstractNumId w:val="25"/>
  </w:num>
  <w:num w:numId="66" w16cid:durableId="708920595">
    <w:abstractNumId w:val="9"/>
  </w:num>
  <w:num w:numId="67" w16cid:durableId="1432553825">
    <w:abstractNumId w:val="65"/>
  </w:num>
  <w:num w:numId="68" w16cid:durableId="722875123">
    <w:abstractNumId w:val="50"/>
  </w:num>
  <w:num w:numId="69" w16cid:durableId="1607300249">
    <w:abstractNumId w:val="26"/>
  </w:num>
  <w:num w:numId="70" w16cid:durableId="1987589560">
    <w:abstractNumId w:val="21"/>
  </w:num>
  <w:num w:numId="71" w16cid:durableId="218519398">
    <w:abstractNumId w:val="41"/>
  </w:num>
  <w:num w:numId="72" w16cid:durableId="548230133">
    <w:abstractNumId w:val="46"/>
  </w:num>
  <w:num w:numId="73" w16cid:durableId="1990016650">
    <w:abstractNumId w:val="63"/>
  </w:num>
  <w:num w:numId="74" w16cid:durableId="2013871836">
    <w:abstractNumId w:val="23"/>
  </w:num>
  <w:numIdMacAtCleanup w:val="7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232"/>
    <w:rsid w:val="0000067A"/>
    <w:rsid w:val="00001371"/>
    <w:rsid w:val="0000483D"/>
    <w:rsid w:val="000055FC"/>
    <w:rsid w:val="000147B0"/>
    <w:rsid w:val="00014A27"/>
    <w:rsid w:val="00015CE2"/>
    <w:rsid w:val="00017EC9"/>
    <w:rsid w:val="00021480"/>
    <w:rsid w:val="000217A5"/>
    <w:rsid w:val="00021983"/>
    <w:rsid w:val="000227F6"/>
    <w:rsid w:val="00023523"/>
    <w:rsid w:val="00025D41"/>
    <w:rsid w:val="00026C9A"/>
    <w:rsid w:val="00027CDD"/>
    <w:rsid w:val="00032076"/>
    <w:rsid w:val="00034CB2"/>
    <w:rsid w:val="00035264"/>
    <w:rsid w:val="00042626"/>
    <w:rsid w:val="00044B01"/>
    <w:rsid w:val="00045559"/>
    <w:rsid w:val="00046F9E"/>
    <w:rsid w:val="000471D8"/>
    <w:rsid w:val="00047821"/>
    <w:rsid w:val="00052625"/>
    <w:rsid w:val="00052C2E"/>
    <w:rsid w:val="00060624"/>
    <w:rsid w:val="00061DAC"/>
    <w:rsid w:val="000633BD"/>
    <w:rsid w:val="00063719"/>
    <w:rsid w:val="00064F2A"/>
    <w:rsid w:val="000655A0"/>
    <w:rsid w:val="000702F8"/>
    <w:rsid w:val="0007175A"/>
    <w:rsid w:val="0007194F"/>
    <w:rsid w:val="000720E6"/>
    <w:rsid w:val="00074E9D"/>
    <w:rsid w:val="00075721"/>
    <w:rsid w:val="0007572A"/>
    <w:rsid w:val="0007757A"/>
    <w:rsid w:val="00081B59"/>
    <w:rsid w:val="00081F34"/>
    <w:rsid w:val="00081FB1"/>
    <w:rsid w:val="0008236A"/>
    <w:rsid w:val="000823AD"/>
    <w:rsid w:val="000834BC"/>
    <w:rsid w:val="00083CE4"/>
    <w:rsid w:val="000840F0"/>
    <w:rsid w:val="00084449"/>
    <w:rsid w:val="000922DA"/>
    <w:rsid w:val="0009613C"/>
    <w:rsid w:val="00097B01"/>
    <w:rsid w:val="000A3952"/>
    <w:rsid w:val="000A54B0"/>
    <w:rsid w:val="000A6A10"/>
    <w:rsid w:val="000A6B7A"/>
    <w:rsid w:val="000A7A6B"/>
    <w:rsid w:val="000B4F4F"/>
    <w:rsid w:val="000B7F94"/>
    <w:rsid w:val="000B7FBA"/>
    <w:rsid w:val="000C0E10"/>
    <w:rsid w:val="000C3589"/>
    <w:rsid w:val="000C5625"/>
    <w:rsid w:val="000C5E14"/>
    <w:rsid w:val="000C6594"/>
    <w:rsid w:val="000D25B7"/>
    <w:rsid w:val="000D4AE0"/>
    <w:rsid w:val="000E0182"/>
    <w:rsid w:val="000E3C00"/>
    <w:rsid w:val="000E4146"/>
    <w:rsid w:val="000E4237"/>
    <w:rsid w:val="000F006F"/>
    <w:rsid w:val="000F2B53"/>
    <w:rsid w:val="000F32CE"/>
    <w:rsid w:val="000F5448"/>
    <w:rsid w:val="000F77F1"/>
    <w:rsid w:val="00102D83"/>
    <w:rsid w:val="00103926"/>
    <w:rsid w:val="00104BB4"/>
    <w:rsid w:val="00105DF7"/>
    <w:rsid w:val="001101F2"/>
    <w:rsid w:val="00112303"/>
    <w:rsid w:val="00113E0E"/>
    <w:rsid w:val="00126154"/>
    <w:rsid w:val="00130665"/>
    <w:rsid w:val="001343C2"/>
    <w:rsid w:val="001343C8"/>
    <w:rsid w:val="001408F3"/>
    <w:rsid w:val="00141F2A"/>
    <w:rsid w:val="00143DD7"/>
    <w:rsid w:val="00144C73"/>
    <w:rsid w:val="00144D04"/>
    <w:rsid w:val="001455A3"/>
    <w:rsid w:val="0014729C"/>
    <w:rsid w:val="0015493F"/>
    <w:rsid w:val="001568E9"/>
    <w:rsid w:val="00157586"/>
    <w:rsid w:val="001605E8"/>
    <w:rsid w:val="001608DD"/>
    <w:rsid w:val="00161871"/>
    <w:rsid w:val="00166ECE"/>
    <w:rsid w:val="001707EA"/>
    <w:rsid w:val="00172123"/>
    <w:rsid w:val="00173CDD"/>
    <w:rsid w:val="0018291C"/>
    <w:rsid w:val="00182A46"/>
    <w:rsid w:val="001922D2"/>
    <w:rsid w:val="00195089"/>
    <w:rsid w:val="00195516"/>
    <w:rsid w:val="001979B3"/>
    <w:rsid w:val="001A4BEF"/>
    <w:rsid w:val="001A6842"/>
    <w:rsid w:val="001B225B"/>
    <w:rsid w:val="001B314D"/>
    <w:rsid w:val="001B7BE0"/>
    <w:rsid w:val="001C54E1"/>
    <w:rsid w:val="001D4BB1"/>
    <w:rsid w:val="001E2B3E"/>
    <w:rsid w:val="001F1722"/>
    <w:rsid w:val="001F2093"/>
    <w:rsid w:val="001F4402"/>
    <w:rsid w:val="001F6F4A"/>
    <w:rsid w:val="001F7DEE"/>
    <w:rsid w:val="00200FEC"/>
    <w:rsid w:val="00202152"/>
    <w:rsid w:val="00202D5D"/>
    <w:rsid w:val="00203711"/>
    <w:rsid w:val="0020512F"/>
    <w:rsid w:val="0020674F"/>
    <w:rsid w:val="00207169"/>
    <w:rsid w:val="0020717C"/>
    <w:rsid w:val="0020745F"/>
    <w:rsid w:val="0020753C"/>
    <w:rsid w:val="0021150A"/>
    <w:rsid w:val="00212CAF"/>
    <w:rsid w:val="0021390D"/>
    <w:rsid w:val="00217912"/>
    <w:rsid w:val="0022063D"/>
    <w:rsid w:val="002217FB"/>
    <w:rsid w:val="0022402D"/>
    <w:rsid w:val="00227756"/>
    <w:rsid w:val="00230DCD"/>
    <w:rsid w:val="002330EC"/>
    <w:rsid w:val="002339D5"/>
    <w:rsid w:val="00234A7F"/>
    <w:rsid w:val="00242AD6"/>
    <w:rsid w:val="0024300F"/>
    <w:rsid w:val="0024440D"/>
    <w:rsid w:val="00245B54"/>
    <w:rsid w:val="0025067E"/>
    <w:rsid w:val="002522FC"/>
    <w:rsid w:val="00252F29"/>
    <w:rsid w:val="00255B8C"/>
    <w:rsid w:val="0026212B"/>
    <w:rsid w:val="00263BC7"/>
    <w:rsid w:val="00265414"/>
    <w:rsid w:val="00266D4B"/>
    <w:rsid w:val="00272C38"/>
    <w:rsid w:val="00274364"/>
    <w:rsid w:val="0027523E"/>
    <w:rsid w:val="00276CB6"/>
    <w:rsid w:val="002816FA"/>
    <w:rsid w:val="00283FDB"/>
    <w:rsid w:val="00286123"/>
    <w:rsid w:val="0028702A"/>
    <w:rsid w:val="002878A5"/>
    <w:rsid w:val="002914BD"/>
    <w:rsid w:val="00295220"/>
    <w:rsid w:val="002A053D"/>
    <w:rsid w:val="002A48C3"/>
    <w:rsid w:val="002A5391"/>
    <w:rsid w:val="002A77ED"/>
    <w:rsid w:val="002B2440"/>
    <w:rsid w:val="002B286C"/>
    <w:rsid w:val="002B3139"/>
    <w:rsid w:val="002C1A36"/>
    <w:rsid w:val="002C4A78"/>
    <w:rsid w:val="002C5AA5"/>
    <w:rsid w:val="002C60FE"/>
    <w:rsid w:val="002C6774"/>
    <w:rsid w:val="002D1083"/>
    <w:rsid w:val="002D1419"/>
    <w:rsid w:val="002D21E2"/>
    <w:rsid w:val="002D34AE"/>
    <w:rsid w:val="002D3740"/>
    <w:rsid w:val="002E06A8"/>
    <w:rsid w:val="002F0374"/>
    <w:rsid w:val="002F2BFF"/>
    <w:rsid w:val="002F3EF7"/>
    <w:rsid w:val="002F62BD"/>
    <w:rsid w:val="0030193D"/>
    <w:rsid w:val="00302BB0"/>
    <w:rsid w:val="00303290"/>
    <w:rsid w:val="00304E3B"/>
    <w:rsid w:val="00305A9F"/>
    <w:rsid w:val="003071CA"/>
    <w:rsid w:val="003101C6"/>
    <w:rsid w:val="0031172C"/>
    <w:rsid w:val="0031233E"/>
    <w:rsid w:val="00313D9C"/>
    <w:rsid w:val="00313DAE"/>
    <w:rsid w:val="0031578A"/>
    <w:rsid w:val="00315A1B"/>
    <w:rsid w:val="00315CC5"/>
    <w:rsid w:val="003173EA"/>
    <w:rsid w:val="00317544"/>
    <w:rsid w:val="00325F40"/>
    <w:rsid w:val="00330617"/>
    <w:rsid w:val="0033493F"/>
    <w:rsid w:val="00337BC3"/>
    <w:rsid w:val="003414EE"/>
    <w:rsid w:val="00342D67"/>
    <w:rsid w:val="00343227"/>
    <w:rsid w:val="00344091"/>
    <w:rsid w:val="00350AC0"/>
    <w:rsid w:val="003520F9"/>
    <w:rsid w:val="003532F8"/>
    <w:rsid w:val="003553DB"/>
    <w:rsid w:val="0035770B"/>
    <w:rsid w:val="003578DE"/>
    <w:rsid w:val="003633B2"/>
    <w:rsid w:val="00371253"/>
    <w:rsid w:val="0038037F"/>
    <w:rsid w:val="00383D60"/>
    <w:rsid w:val="00384AAF"/>
    <w:rsid w:val="00385714"/>
    <w:rsid w:val="00392EDA"/>
    <w:rsid w:val="003A585B"/>
    <w:rsid w:val="003B21B2"/>
    <w:rsid w:val="003C0BA4"/>
    <w:rsid w:val="003C188F"/>
    <w:rsid w:val="003C18CD"/>
    <w:rsid w:val="003C2DA6"/>
    <w:rsid w:val="003C4AE0"/>
    <w:rsid w:val="003C4F96"/>
    <w:rsid w:val="003C54CC"/>
    <w:rsid w:val="003C6B99"/>
    <w:rsid w:val="003D004B"/>
    <w:rsid w:val="003D0231"/>
    <w:rsid w:val="003D0EAE"/>
    <w:rsid w:val="003D1715"/>
    <w:rsid w:val="003D5695"/>
    <w:rsid w:val="003D5FAD"/>
    <w:rsid w:val="003D674B"/>
    <w:rsid w:val="003D6EC1"/>
    <w:rsid w:val="003E0006"/>
    <w:rsid w:val="003E1A1C"/>
    <w:rsid w:val="003E4F46"/>
    <w:rsid w:val="003E5A91"/>
    <w:rsid w:val="003E7C4F"/>
    <w:rsid w:val="003F1B76"/>
    <w:rsid w:val="003F1D7D"/>
    <w:rsid w:val="003F2A2E"/>
    <w:rsid w:val="003F387E"/>
    <w:rsid w:val="003F4D2C"/>
    <w:rsid w:val="003F606C"/>
    <w:rsid w:val="003F6DE3"/>
    <w:rsid w:val="003F6F0A"/>
    <w:rsid w:val="0040219B"/>
    <w:rsid w:val="00403234"/>
    <w:rsid w:val="00403F6C"/>
    <w:rsid w:val="004075B2"/>
    <w:rsid w:val="0041023E"/>
    <w:rsid w:val="00411B84"/>
    <w:rsid w:val="00411EAE"/>
    <w:rsid w:val="004120D0"/>
    <w:rsid w:val="00413A5C"/>
    <w:rsid w:val="00413CE9"/>
    <w:rsid w:val="00414800"/>
    <w:rsid w:val="00414882"/>
    <w:rsid w:val="0041649C"/>
    <w:rsid w:val="00416B87"/>
    <w:rsid w:val="00416BFC"/>
    <w:rsid w:val="004178E9"/>
    <w:rsid w:val="0042776B"/>
    <w:rsid w:val="004302CB"/>
    <w:rsid w:val="00430347"/>
    <w:rsid w:val="0043398D"/>
    <w:rsid w:val="00433CB1"/>
    <w:rsid w:val="00436682"/>
    <w:rsid w:val="00436C04"/>
    <w:rsid w:val="0043711F"/>
    <w:rsid w:val="00442502"/>
    <w:rsid w:val="00443AE3"/>
    <w:rsid w:val="0044595A"/>
    <w:rsid w:val="004466C2"/>
    <w:rsid w:val="00447DA8"/>
    <w:rsid w:val="0045191A"/>
    <w:rsid w:val="004556A3"/>
    <w:rsid w:val="00460299"/>
    <w:rsid w:val="00461B14"/>
    <w:rsid w:val="004656FF"/>
    <w:rsid w:val="00465BF3"/>
    <w:rsid w:val="004814B9"/>
    <w:rsid w:val="00481FFD"/>
    <w:rsid w:val="00482D3C"/>
    <w:rsid w:val="00483F31"/>
    <w:rsid w:val="004841AD"/>
    <w:rsid w:val="00486C53"/>
    <w:rsid w:val="00490028"/>
    <w:rsid w:val="00490664"/>
    <w:rsid w:val="004917A2"/>
    <w:rsid w:val="00494515"/>
    <w:rsid w:val="00496E07"/>
    <w:rsid w:val="004976E4"/>
    <w:rsid w:val="004A045C"/>
    <w:rsid w:val="004A049B"/>
    <w:rsid w:val="004A1DE0"/>
    <w:rsid w:val="004A36CC"/>
    <w:rsid w:val="004A4CE1"/>
    <w:rsid w:val="004A5C5A"/>
    <w:rsid w:val="004A673B"/>
    <w:rsid w:val="004B22F6"/>
    <w:rsid w:val="004C0F52"/>
    <w:rsid w:val="004C4DE9"/>
    <w:rsid w:val="004C607E"/>
    <w:rsid w:val="004D3109"/>
    <w:rsid w:val="004D4174"/>
    <w:rsid w:val="004D5FFC"/>
    <w:rsid w:val="004D6997"/>
    <w:rsid w:val="004D7A2E"/>
    <w:rsid w:val="004E52FB"/>
    <w:rsid w:val="004E6E25"/>
    <w:rsid w:val="004E733F"/>
    <w:rsid w:val="004E7B99"/>
    <w:rsid w:val="004F0F8B"/>
    <w:rsid w:val="00502B85"/>
    <w:rsid w:val="00503EA1"/>
    <w:rsid w:val="005070F7"/>
    <w:rsid w:val="00510DE3"/>
    <w:rsid w:val="00512C93"/>
    <w:rsid w:val="00513D01"/>
    <w:rsid w:val="00513FAE"/>
    <w:rsid w:val="005146B4"/>
    <w:rsid w:val="005146DB"/>
    <w:rsid w:val="00524EB0"/>
    <w:rsid w:val="005306BC"/>
    <w:rsid w:val="005406A7"/>
    <w:rsid w:val="00541046"/>
    <w:rsid w:val="00545DB5"/>
    <w:rsid w:val="00546C03"/>
    <w:rsid w:val="005475C9"/>
    <w:rsid w:val="0054797D"/>
    <w:rsid w:val="005526BC"/>
    <w:rsid w:val="005528BB"/>
    <w:rsid w:val="00561D9B"/>
    <w:rsid w:val="00562D04"/>
    <w:rsid w:val="00563B03"/>
    <w:rsid w:val="0056672D"/>
    <w:rsid w:val="00571550"/>
    <w:rsid w:val="005725FB"/>
    <w:rsid w:val="005735CC"/>
    <w:rsid w:val="00577F09"/>
    <w:rsid w:val="005805CC"/>
    <w:rsid w:val="005807FC"/>
    <w:rsid w:val="00580CD3"/>
    <w:rsid w:val="005824B9"/>
    <w:rsid w:val="00586ED6"/>
    <w:rsid w:val="00590357"/>
    <w:rsid w:val="0059108A"/>
    <w:rsid w:val="005919B7"/>
    <w:rsid w:val="00592865"/>
    <w:rsid w:val="0059753C"/>
    <w:rsid w:val="005A197F"/>
    <w:rsid w:val="005A246D"/>
    <w:rsid w:val="005A45A6"/>
    <w:rsid w:val="005B0F16"/>
    <w:rsid w:val="005B2A72"/>
    <w:rsid w:val="005B312F"/>
    <w:rsid w:val="005B3286"/>
    <w:rsid w:val="005B47F0"/>
    <w:rsid w:val="005C09EF"/>
    <w:rsid w:val="005C40E0"/>
    <w:rsid w:val="005C4204"/>
    <w:rsid w:val="005C5CB0"/>
    <w:rsid w:val="005D18CA"/>
    <w:rsid w:val="005D2754"/>
    <w:rsid w:val="005D2936"/>
    <w:rsid w:val="005D63BF"/>
    <w:rsid w:val="005E3CED"/>
    <w:rsid w:val="005E5839"/>
    <w:rsid w:val="005F0945"/>
    <w:rsid w:val="005F174E"/>
    <w:rsid w:val="005F1BA4"/>
    <w:rsid w:val="005F1EE6"/>
    <w:rsid w:val="005F3C20"/>
    <w:rsid w:val="005F47A6"/>
    <w:rsid w:val="005F59BB"/>
    <w:rsid w:val="00603545"/>
    <w:rsid w:val="00603DB4"/>
    <w:rsid w:val="00606603"/>
    <w:rsid w:val="0060665E"/>
    <w:rsid w:val="00606B34"/>
    <w:rsid w:val="00610D3E"/>
    <w:rsid w:val="00610F94"/>
    <w:rsid w:val="00612CA9"/>
    <w:rsid w:val="00621652"/>
    <w:rsid w:val="0062250D"/>
    <w:rsid w:val="00623FE5"/>
    <w:rsid w:val="006245CB"/>
    <w:rsid w:val="006254DD"/>
    <w:rsid w:val="00634AFE"/>
    <w:rsid w:val="00640536"/>
    <w:rsid w:val="00640FAE"/>
    <w:rsid w:val="00641D43"/>
    <w:rsid w:val="00650E99"/>
    <w:rsid w:val="006564E5"/>
    <w:rsid w:val="0065657C"/>
    <w:rsid w:val="006573D3"/>
    <w:rsid w:val="0066026C"/>
    <w:rsid w:val="00660BB8"/>
    <w:rsid w:val="00661540"/>
    <w:rsid w:val="00662ED2"/>
    <w:rsid w:val="00663F91"/>
    <w:rsid w:val="006655D2"/>
    <w:rsid w:val="00665FEA"/>
    <w:rsid w:val="006666A2"/>
    <w:rsid w:val="00666F32"/>
    <w:rsid w:val="006723B9"/>
    <w:rsid w:val="00672F71"/>
    <w:rsid w:val="0067394B"/>
    <w:rsid w:val="00675127"/>
    <w:rsid w:val="00680FC4"/>
    <w:rsid w:val="00684051"/>
    <w:rsid w:val="006935F5"/>
    <w:rsid w:val="00694147"/>
    <w:rsid w:val="00694262"/>
    <w:rsid w:val="00694DEA"/>
    <w:rsid w:val="006A319B"/>
    <w:rsid w:val="006A34E4"/>
    <w:rsid w:val="006A5087"/>
    <w:rsid w:val="006A622B"/>
    <w:rsid w:val="006B06F0"/>
    <w:rsid w:val="006B1352"/>
    <w:rsid w:val="006B1D14"/>
    <w:rsid w:val="006B3B37"/>
    <w:rsid w:val="006B46F4"/>
    <w:rsid w:val="006B53E7"/>
    <w:rsid w:val="006C2386"/>
    <w:rsid w:val="006C3F57"/>
    <w:rsid w:val="006D1D34"/>
    <w:rsid w:val="006D2EFE"/>
    <w:rsid w:val="006D301E"/>
    <w:rsid w:val="006D6A76"/>
    <w:rsid w:val="006E6DAC"/>
    <w:rsid w:val="006F1EE1"/>
    <w:rsid w:val="006F299D"/>
    <w:rsid w:val="006F3ED0"/>
    <w:rsid w:val="006F6FE4"/>
    <w:rsid w:val="00700386"/>
    <w:rsid w:val="00707E0F"/>
    <w:rsid w:val="0071037D"/>
    <w:rsid w:val="00710A79"/>
    <w:rsid w:val="00712C87"/>
    <w:rsid w:val="00713F44"/>
    <w:rsid w:val="00717C5D"/>
    <w:rsid w:val="00717CA8"/>
    <w:rsid w:val="00720B5F"/>
    <w:rsid w:val="00735C17"/>
    <w:rsid w:val="00735F67"/>
    <w:rsid w:val="00744052"/>
    <w:rsid w:val="00744EE7"/>
    <w:rsid w:val="00745198"/>
    <w:rsid w:val="00745903"/>
    <w:rsid w:val="007544F7"/>
    <w:rsid w:val="00754A5A"/>
    <w:rsid w:val="007553F4"/>
    <w:rsid w:val="00757123"/>
    <w:rsid w:val="007637F6"/>
    <w:rsid w:val="007648D1"/>
    <w:rsid w:val="00765F93"/>
    <w:rsid w:val="00766410"/>
    <w:rsid w:val="0076756D"/>
    <w:rsid w:val="00767855"/>
    <w:rsid w:val="0077192A"/>
    <w:rsid w:val="00775112"/>
    <w:rsid w:val="0077551A"/>
    <w:rsid w:val="00775EB6"/>
    <w:rsid w:val="00775FBC"/>
    <w:rsid w:val="00776F99"/>
    <w:rsid w:val="00776F9E"/>
    <w:rsid w:val="007808B1"/>
    <w:rsid w:val="00783ED7"/>
    <w:rsid w:val="007846CF"/>
    <w:rsid w:val="00790753"/>
    <w:rsid w:val="00790B8C"/>
    <w:rsid w:val="00791DF5"/>
    <w:rsid w:val="007A22A9"/>
    <w:rsid w:val="007A54E4"/>
    <w:rsid w:val="007B2127"/>
    <w:rsid w:val="007B54E5"/>
    <w:rsid w:val="007B658A"/>
    <w:rsid w:val="007B6FD0"/>
    <w:rsid w:val="007B7A5F"/>
    <w:rsid w:val="007C356A"/>
    <w:rsid w:val="007C398E"/>
    <w:rsid w:val="007C7DD4"/>
    <w:rsid w:val="007D0B33"/>
    <w:rsid w:val="007D380F"/>
    <w:rsid w:val="007D5EA7"/>
    <w:rsid w:val="007D6568"/>
    <w:rsid w:val="007D6F4F"/>
    <w:rsid w:val="007D7C4D"/>
    <w:rsid w:val="007E13F4"/>
    <w:rsid w:val="007E2103"/>
    <w:rsid w:val="007E3E55"/>
    <w:rsid w:val="007E4AB4"/>
    <w:rsid w:val="007E6BAD"/>
    <w:rsid w:val="007F48B2"/>
    <w:rsid w:val="007F5C55"/>
    <w:rsid w:val="008013BE"/>
    <w:rsid w:val="00801A9D"/>
    <w:rsid w:val="00802F57"/>
    <w:rsid w:val="0080359D"/>
    <w:rsid w:val="008159B9"/>
    <w:rsid w:val="00815C91"/>
    <w:rsid w:val="00815D08"/>
    <w:rsid w:val="00822346"/>
    <w:rsid w:val="00833F0B"/>
    <w:rsid w:val="00835618"/>
    <w:rsid w:val="00840077"/>
    <w:rsid w:val="00840EA5"/>
    <w:rsid w:val="00842373"/>
    <w:rsid w:val="008440B1"/>
    <w:rsid w:val="00847FC5"/>
    <w:rsid w:val="008559FA"/>
    <w:rsid w:val="0087036B"/>
    <w:rsid w:val="0087372B"/>
    <w:rsid w:val="008745C2"/>
    <w:rsid w:val="008748C8"/>
    <w:rsid w:val="0087507F"/>
    <w:rsid w:val="00877D62"/>
    <w:rsid w:val="00881559"/>
    <w:rsid w:val="00881F42"/>
    <w:rsid w:val="008835A6"/>
    <w:rsid w:val="008836B8"/>
    <w:rsid w:val="00884612"/>
    <w:rsid w:val="008977F9"/>
    <w:rsid w:val="008A1919"/>
    <w:rsid w:val="008A3B65"/>
    <w:rsid w:val="008A4C8F"/>
    <w:rsid w:val="008A561F"/>
    <w:rsid w:val="008A6949"/>
    <w:rsid w:val="008B06FD"/>
    <w:rsid w:val="008B5BAF"/>
    <w:rsid w:val="008B74FB"/>
    <w:rsid w:val="008C0F41"/>
    <w:rsid w:val="008C58CC"/>
    <w:rsid w:val="008C7566"/>
    <w:rsid w:val="008E29AA"/>
    <w:rsid w:val="008E2D96"/>
    <w:rsid w:val="008E3171"/>
    <w:rsid w:val="008E5073"/>
    <w:rsid w:val="008F692B"/>
    <w:rsid w:val="008F6DCC"/>
    <w:rsid w:val="008F78BC"/>
    <w:rsid w:val="008F7F02"/>
    <w:rsid w:val="00904C37"/>
    <w:rsid w:val="0090781F"/>
    <w:rsid w:val="00910935"/>
    <w:rsid w:val="00912AE0"/>
    <w:rsid w:val="00914320"/>
    <w:rsid w:val="00915442"/>
    <w:rsid w:val="00916D18"/>
    <w:rsid w:val="00917D9B"/>
    <w:rsid w:val="0092410D"/>
    <w:rsid w:val="00930F20"/>
    <w:rsid w:val="009331DC"/>
    <w:rsid w:val="00937580"/>
    <w:rsid w:val="0094129B"/>
    <w:rsid w:val="0094189F"/>
    <w:rsid w:val="009424BC"/>
    <w:rsid w:val="00943FDA"/>
    <w:rsid w:val="00944914"/>
    <w:rsid w:val="00945E05"/>
    <w:rsid w:val="009527DB"/>
    <w:rsid w:val="00953993"/>
    <w:rsid w:val="00954C05"/>
    <w:rsid w:val="00957010"/>
    <w:rsid w:val="00963CBF"/>
    <w:rsid w:val="009657A9"/>
    <w:rsid w:val="00966670"/>
    <w:rsid w:val="00967E06"/>
    <w:rsid w:val="00973A91"/>
    <w:rsid w:val="00974AC2"/>
    <w:rsid w:val="009752D7"/>
    <w:rsid w:val="009803B9"/>
    <w:rsid w:val="00983849"/>
    <w:rsid w:val="00983EDC"/>
    <w:rsid w:val="00984E08"/>
    <w:rsid w:val="00984E0A"/>
    <w:rsid w:val="009913FE"/>
    <w:rsid w:val="0099160D"/>
    <w:rsid w:val="00992BF5"/>
    <w:rsid w:val="00994619"/>
    <w:rsid w:val="00995A6E"/>
    <w:rsid w:val="00996AD9"/>
    <w:rsid w:val="00997975"/>
    <w:rsid w:val="009A189A"/>
    <w:rsid w:val="009A7A94"/>
    <w:rsid w:val="009B6EB6"/>
    <w:rsid w:val="009C1F4C"/>
    <w:rsid w:val="009C58ED"/>
    <w:rsid w:val="009C79A7"/>
    <w:rsid w:val="009D111C"/>
    <w:rsid w:val="009D1CAE"/>
    <w:rsid w:val="009D2BEE"/>
    <w:rsid w:val="009E01DB"/>
    <w:rsid w:val="009E2BDD"/>
    <w:rsid w:val="009E5864"/>
    <w:rsid w:val="009E6463"/>
    <w:rsid w:val="009F1683"/>
    <w:rsid w:val="009F2A51"/>
    <w:rsid w:val="009F3A2A"/>
    <w:rsid w:val="009F3DBA"/>
    <w:rsid w:val="009F4292"/>
    <w:rsid w:val="009F4C4B"/>
    <w:rsid w:val="00A01495"/>
    <w:rsid w:val="00A06A52"/>
    <w:rsid w:val="00A102F9"/>
    <w:rsid w:val="00A115AE"/>
    <w:rsid w:val="00A11E8D"/>
    <w:rsid w:val="00A14810"/>
    <w:rsid w:val="00A14EED"/>
    <w:rsid w:val="00A16B28"/>
    <w:rsid w:val="00A177EE"/>
    <w:rsid w:val="00A17D0F"/>
    <w:rsid w:val="00A20EEA"/>
    <w:rsid w:val="00A246DF"/>
    <w:rsid w:val="00A24C51"/>
    <w:rsid w:val="00A25A7C"/>
    <w:rsid w:val="00A2614F"/>
    <w:rsid w:val="00A264D5"/>
    <w:rsid w:val="00A34F97"/>
    <w:rsid w:val="00A3535E"/>
    <w:rsid w:val="00A40BE2"/>
    <w:rsid w:val="00A41288"/>
    <w:rsid w:val="00A432C6"/>
    <w:rsid w:val="00A43E95"/>
    <w:rsid w:val="00A43F12"/>
    <w:rsid w:val="00A51F4B"/>
    <w:rsid w:val="00A56487"/>
    <w:rsid w:val="00A5675C"/>
    <w:rsid w:val="00A63A62"/>
    <w:rsid w:val="00A63CF4"/>
    <w:rsid w:val="00A64888"/>
    <w:rsid w:val="00A65C9A"/>
    <w:rsid w:val="00A74335"/>
    <w:rsid w:val="00A7439C"/>
    <w:rsid w:val="00A87FF6"/>
    <w:rsid w:val="00A90477"/>
    <w:rsid w:val="00A924D6"/>
    <w:rsid w:val="00A93572"/>
    <w:rsid w:val="00A947AF"/>
    <w:rsid w:val="00A956E0"/>
    <w:rsid w:val="00A96EFC"/>
    <w:rsid w:val="00AA0963"/>
    <w:rsid w:val="00AA1FBA"/>
    <w:rsid w:val="00AA2377"/>
    <w:rsid w:val="00AB3A5E"/>
    <w:rsid w:val="00AB3D3E"/>
    <w:rsid w:val="00AB6383"/>
    <w:rsid w:val="00AC1675"/>
    <w:rsid w:val="00AC1B69"/>
    <w:rsid w:val="00AC3C0A"/>
    <w:rsid w:val="00AC5AB2"/>
    <w:rsid w:val="00AC730C"/>
    <w:rsid w:val="00AC7D5E"/>
    <w:rsid w:val="00AD0407"/>
    <w:rsid w:val="00AD4EFF"/>
    <w:rsid w:val="00AE254C"/>
    <w:rsid w:val="00AE45E6"/>
    <w:rsid w:val="00AE685D"/>
    <w:rsid w:val="00AF0DF6"/>
    <w:rsid w:val="00AF1A1C"/>
    <w:rsid w:val="00AF586B"/>
    <w:rsid w:val="00AF5C4A"/>
    <w:rsid w:val="00AF5DF4"/>
    <w:rsid w:val="00AF7931"/>
    <w:rsid w:val="00B01CA8"/>
    <w:rsid w:val="00B03232"/>
    <w:rsid w:val="00B03799"/>
    <w:rsid w:val="00B05826"/>
    <w:rsid w:val="00B06E46"/>
    <w:rsid w:val="00B1065E"/>
    <w:rsid w:val="00B1076D"/>
    <w:rsid w:val="00B12552"/>
    <w:rsid w:val="00B13A68"/>
    <w:rsid w:val="00B13DCB"/>
    <w:rsid w:val="00B161CF"/>
    <w:rsid w:val="00B17EEC"/>
    <w:rsid w:val="00B21AE8"/>
    <w:rsid w:val="00B238C1"/>
    <w:rsid w:val="00B2399F"/>
    <w:rsid w:val="00B27AF7"/>
    <w:rsid w:val="00B312B8"/>
    <w:rsid w:val="00B33680"/>
    <w:rsid w:val="00B41CFA"/>
    <w:rsid w:val="00B513C5"/>
    <w:rsid w:val="00B52F78"/>
    <w:rsid w:val="00B55843"/>
    <w:rsid w:val="00B57601"/>
    <w:rsid w:val="00B57869"/>
    <w:rsid w:val="00B603E4"/>
    <w:rsid w:val="00B63C35"/>
    <w:rsid w:val="00B64518"/>
    <w:rsid w:val="00B64560"/>
    <w:rsid w:val="00B70A92"/>
    <w:rsid w:val="00B73189"/>
    <w:rsid w:val="00B77A59"/>
    <w:rsid w:val="00B83851"/>
    <w:rsid w:val="00B90C37"/>
    <w:rsid w:val="00B9364C"/>
    <w:rsid w:val="00B94085"/>
    <w:rsid w:val="00B944FF"/>
    <w:rsid w:val="00B965CF"/>
    <w:rsid w:val="00B96ADA"/>
    <w:rsid w:val="00BA0211"/>
    <w:rsid w:val="00BA604D"/>
    <w:rsid w:val="00BA7C0D"/>
    <w:rsid w:val="00BB2A38"/>
    <w:rsid w:val="00BC272D"/>
    <w:rsid w:val="00BC2F33"/>
    <w:rsid w:val="00BC7E48"/>
    <w:rsid w:val="00BD1DAA"/>
    <w:rsid w:val="00BE271F"/>
    <w:rsid w:val="00BE5971"/>
    <w:rsid w:val="00BE5EAF"/>
    <w:rsid w:val="00BE7D40"/>
    <w:rsid w:val="00BF0447"/>
    <w:rsid w:val="00BF09F8"/>
    <w:rsid w:val="00BF2744"/>
    <w:rsid w:val="00BF50F3"/>
    <w:rsid w:val="00BF568E"/>
    <w:rsid w:val="00BF629F"/>
    <w:rsid w:val="00BF67F5"/>
    <w:rsid w:val="00BF6AD2"/>
    <w:rsid w:val="00C030F1"/>
    <w:rsid w:val="00C054E1"/>
    <w:rsid w:val="00C06051"/>
    <w:rsid w:val="00C068E0"/>
    <w:rsid w:val="00C104AE"/>
    <w:rsid w:val="00C11D91"/>
    <w:rsid w:val="00C12A15"/>
    <w:rsid w:val="00C1700D"/>
    <w:rsid w:val="00C21DEE"/>
    <w:rsid w:val="00C26B42"/>
    <w:rsid w:val="00C31E37"/>
    <w:rsid w:val="00C35084"/>
    <w:rsid w:val="00C37874"/>
    <w:rsid w:val="00C37DEA"/>
    <w:rsid w:val="00C40064"/>
    <w:rsid w:val="00C43005"/>
    <w:rsid w:val="00C43A3F"/>
    <w:rsid w:val="00C5314C"/>
    <w:rsid w:val="00C53F86"/>
    <w:rsid w:val="00C57FCC"/>
    <w:rsid w:val="00C6016B"/>
    <w:rsid w:val="00C63016"/>
    <w:rsid w:val="00C6603F"/>
    <w:rsid w:val="00C71132"/>
    <w:rsid w:val="00C73FCC"/>
    <w:rsid w:val="00C77A54"/>
    <w:rsid w:val="00C80B74"/>
    <w:rsid w:val="00C80CF3"/>
    <w:rsid w:val="00C82A5A"/>
    <w:rsid w:val="00C9566E"/>
    <w:rsid w:val="00C9728D"/>
    <w:rsid w:val="00CB0EB9"/>
    <w:rsid w:val="00CB204E"/>
    <w:rsid w:val="00CB689A"/>
    <w:rsid w:val="00CC0D27"/>
    <w:rsid w:val="00CC32AC"/>
    <w:rsid w:val="00CC6DA3"/>
    <w:rsid w:val="00CC796E"/>
    <w:rsid w:val="00CD06FB"/>
    <w:rsid w:val="00CD0EFA"/>
    <w:rsid w:val="00CD5440"/>
    <w:rsid w:val="00CD56F5"/>
    <w:rsid w:val="00CD71E1"/>
    <w:rsid w:val="00CE10CB"/>
    <w:rsid w:val="00CE181B"/>
    <w:rsid w:val="00CE19E0"/>
    <w:rsid w:val="00CE321F"/>
    <w:rsid w:val="00CE6009"/>
    <w:rsid w:val="00CF38D6"/>
    <w:rsid w:val="00CF62CD"/>
    <w:rsid w:val="00D01FFD"/>
    <w:rsid w:val="00D03CCF"/>
    <w:rsid w:val="00D0468F"/>
    <w:rsid w:val="00D06E9D"/>
    <w:rsid w:val="00D07156"/>
    <w:rsid w:val="00D07C5E"/>
    <w:rsid w:val="00D10519"/>
    <w:rsid w:val="00D10A2A"/>
    <w:rsid w:val="00D1399C"/>
    <w:rsid w:val="00D1697D"/>
    <w:rsid w:val="00D17C0C"/>
    <w:rsid w:val="00D227D4"/>
    <w:rsid w:val="00D2459D"/>
    <w:rsid w:val="00D264DA"/>
    <w:rsid w:val="00D3004F"/>
    <w:rsid w:val="00D31581"/>
    <w:rsid w:val="00D32709"/>
    <w:rsid w:val="00D34786"/>
    <w:rsid w:val="00D408C9"/>
    <w:rsid w:val="00D43893"/>
    <w:rsid w:val="00D53867"/>
    <w:rsid w:val="00D53A67"/>
    <w:rsid w:val="00D54267"/>
    <w:rsid w:val="00D600C2"/>
    <w:rsid w:val="00D6624C"/>
    <w:rsid w:val="00D7022A"/>
    <w:rsid w:val="00D74615"/>
    <w:rsid w:val="00D80232"/>
    <w:rsid w:val="00D84A0A"/>
    <w:rsid w:val="00D861F2"/>
    <w:rsid w:val="00D864F5"/>
    <w:rsid w:val="00D92F03"/>
    <w:rsid w:val="00D932BA"/>
    <w:rsid w:val="00DA12A6"/>
    <w:rsid w:val="00DA2C7B"/>
    <w:rsid w:val="00DA358F"/>
    <w:rsid w:val="00DA784C"/>
    <w:rsid w:val="00DA7EFD"/>
    <w:rsid w:val="00DB1C5F"/>
    <w:rsid w:val="00DB2352"/>
    <w:rsid w:val="00DC10AF"/>
    <w:rsid w:val="00DC58FC"/>
    <w:rsid w:val="00DC6FF2"/>
    <w:rsid w:val="00DD20AE"/>
    <w:rsid w:val="00DD3368"/>
    <w:rsid w:val="00DD6911"/>
    <w:rsid w:val="00DE0700"/>
    <w:rsid w:val="00DE10EC"/>
    <w:rsid w:val="00DE24F0"/>
    <w:rsid w:val="00DE27D3"/>
    <w:rsid w:val="00DE57FE"/>
    <w:rsid w:val="00DE77C7"/>
    <w:rsid w:val="00DF24C1"/>
    <w:rsid w:val="00DF60A2"/>
    <w:rsid w:val="00DF65F1"/>
    <w:rsid w:val="00DF7726"/>
    <w:rsid w:val="00E02DCF"/>
    <w:rsid w:val="00E04FBA"/>
    <w:rsid w:val="00E05168"/>
    <w:rsid w:val="00E1064F"/>
    <w:rsid w:val="00E12A4C"/>
    <w:rsid w:val="00E13C1C"/>
    <w:rsid w:val="00E14A32"/>
    <w:rsid w:val="00E16347"/>
    <w:rsid w:val="00E207EF"/>
    <w:rsid w:val="00E2350E"/>
    <w:rsid w:val="00E23F61"/>
    <w:rsid w:val="00E24F45"/>
    <w:rsid w:val="00E259F2"/>
    <w:rsid w:val="00E27972"/>
    <w:rsid w:val="00E31104"/>
    <w:rsid w:val="00E31405"/>
    <w:rsid w:val="00E31761"/>
    <w:rsid w:val="00E40808"/>
    <w:rsid w:val="00E417F1"/>
    <w:rsid w:val="00E41DBE"/>
    <w:rsid w:val="00E42F0D"/>
    <w:rsid w:val="00E4577A"/>
    <w:rsid w:val="00E45A97"/>
    <w:rsid w:val="00E46024"/>
    <w:rsid w:val="00E46184"/>
    <w:rsid w:val="00E4630A"/>
    <w:rsid w:val="00E46CF8"/>
    <w:rsid w:val="00E47B98"/>
    <w:rsid w:val="00E50B2C"/>
    <w:rsid w:val="00E52E82"/>
    <w:rsid w:val="00E5311A"/>
    <w:rsid w:val="00E55C67"/>
    <w:rsid w:val="00E55E2C"/>
    <w:rsid w:val="00E626D1"/>
    <w:rsid w:val="00E62CB2"/>
    <w:rsid w:val="00E62FE8"/>
    <w:rsid w:val="00E6327A"/>
    <w:rsid w:val="00E64C3C"/>
    <w:rsid w:val="00E70E17"/>
    <w:rsid w:val="00E74CCE"/>
    <w:rsid w:val="00E76791"/>
    <w:rsid w:val="00E77BC6"/>
    <w:rsid w:val="00E8086F"/>
    <w:rsid w:val="00E82809"/>
    <w:rsid w:val="00E83467"/>
    <w:rsid w:val="00E863C3"/>
    <w:rsid w:val="00E86EAC"/>
    <w:rsid w:val="00E90239"/>
    <w:rsid w:val="00E90A23"/>
    <w:rsid w:val="00E91D52"/>
    <w:rsid w:val="00E91FFE"/>
    <w:rsid w:val="00E9385D"/>
    <w:rsid w:val="00E948A3"/>
    <w:rsid w:val="00E96DB7"/>
    <w:rsid w:val="00E97A0D"/>
    <w:rsid w:val="00EA17DA"/>
    <w:rsid w:val="00EA2C0D"/>
    <w:rsid w:val="00EA3BDA"/>
    <w:rsid w:val="00EA6F7C"/>
    <w:rsid w:val="00EB007B"/>
    <w:rsid w:val="00EB078A"/>
    <w:rsid w:val="00EB6F45"/>
    <w:rsid w:val="00EC3257"/>
    <w:rsid w:val="00EC34AB"/>
    <w:rsid w:val="00EC461B"/>
    <w:rsid w:val="00EC5B75"/>
    <w:rsid w:val="00EC5DD9"/>
    <w:rsid w:val="00EC7416"/>
    <w:rsid w:val="00ED04F6"/>
    <w:rsid w:val="00ED332A"/>
    <w:rsid w:val="00ED345A"/>
    <w:rsid w:val="00ED6BA5"/>
    <w:rsid w:val="00ED74FE"/>
    <w:rsid w:val="00ED7BD2"/>
    <w:rsid w:val="00EE080F"/>
    <w:rsid w:val="00EE4876"/>
    <w:rsid w:val="00EE6DA2"/>
    <w:rsid w:val="00EF07AF"/>
    <w:rsid w:val="00EF4999"/>
    <w:rsid w:val="00EF5480"/>
    <w:rsid w:val="00EF5C37"/>
    <w:rsid w:val="00EF67A1"/>
    <w:rsid w:val="00F02F7F"/>
    <w:rsid w:val="00F06BA1"/>
    <w:rsid w:val="00F06D0D"/>
    <w:rsid w:val="00F07D91"/>
    <w:rsid w:val="00F151E0"/>
    <w:rsid w:val="00F1561E"/>
    <w:rsid w:val="00F16D89"/>
    <w:rsid w:val="00F22141"/>
    <w:rsid w:val="00F23C17"/>
    <w:rsid w:val="00F26983"/>
    <w:rsid w:val="00F3259F"/>
    <w:rsid w:val="00F32BC8"/>
    <w:rsid w:val="00F33240"/>
    <w:rsid w:val="00F3354F"/>
    <w:rsid w:val="00F339A1"/>
    <w:rsid w:val="00F42BF9"/>
    <w:rsid w:val="00F4478F"/>
    <w:rsid w:val="00F47EC1"/>
    <w:rsid w:val="00F50861"/>
    <w:rsid w:val="00F5465F"/>
    <w:rsid w:val="00F54B78"/>
    <w:rsid w:val="00F61E3B"/>
    <w:rsid w:val="00F63706"/>
    <w:rsid w:val="00F644F1"/>
    <w:rsid w:val="00F6737B"/>
    <w:rsid w:val="00F709D1"/>
    <w:rsid w:val="00F7307D"/>
    <w:rsid w:val="00F76FBE"/>
    <w:rsid w:val="00F770CA"/>
    <w:rsid w:val="00F7749A"/>
    <w:rsid w:val="00F8276B"/>
    <w:rsid w:val="00F82C9C"/>
    <w:rsid w:val="00F83F39"/>
    <w:rsid w:val="00F84A66"/>
    <w:rsid w:val="00F8558C"/>
    <w:rsid w:val="00F86139"/>
    <w:rsid w:val="00F9158B"/>
    <w:rsid w:val="00F915F2"/>
    <w:rsid w:val="00F949FC"/>
    <w:rsid w:val="00FA6BDE"/>
    <w:rsid w:val="00FB2D6A"/>
    <w:rsid w:val="00FB4811"/>
    <w:rsid w:val="00FB4998"/>
    <w:rsid w:val="00FB78C3"/>
    <w:rsid w:val="00FC15D2"/>
    <w:rsid w:val="00FC4585"/>
    <w:rsid w:val="00FD10C5"/>
    <w:rsid w:val="00FD76E5"/>
    <w:rsid w:val="00FE6017"/>
    <w:rsid w:val="00FE7E97"/>
    <w:rsid w:val="00FF06EB"/>
    <w:rsid w:val="00FF0C86"/>
    <w:rsid w:val="00FF22FC"/>
    <w:rsid w:val="00FF502F"/>
    <w:rsid w:val="00FF596C"/>
    <w:rsid w:val="00FF79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597DA"/>
  <w15:chartTrackingRefBased/>
  <w15:docId w15:val="{9DF32ACA-6739-F842-A24E-6712C04B0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8023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8023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8023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8023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8023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8023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8023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8023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8023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023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8023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D8023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80232"/>
    <w:rPr>
      <w:rFonts w:cstheme="majorBidi"/>
      <w:color w:val="0F4761" w:themeColor="accent1" w:themeShade="BF"/>
      <w:sz w:val="28"/>
      <w:szCs w:val="28"/>
    </w:rPr>
  </w:style>
  <w:style w:type="character" w:customStyle="1" w:styleId="50">
    <w:name w:val="标题 5 字符"/>
    <w:basedOn w:val="a0"/>
    <w:link w:val="5"/>
    <w:uiPriority w:val="9"/>
    <w:semiHidden/>
    <w:rsid w:val="00D80232"/>
    <w:rPr>
      <w:rFonts w:cstheme="majorBidi"/>
      <w:color w:val="0F4761" w:themeColor="accent1" w:themeShade="BF"/>
      <w:sz w:val="24"/>
    </w:rPr>
  </w:style>
  <w:style w:type="character" w:customStyle="1" w:styleId="60">
    <w:name w:val="标题 6 字符"/>
    <w:basedOn w:val="a0"/>
    <w:link w:val="6"/>
    <w:uiPriority w:val="9"/>
    <w:semiHidden/>
    <w:rsid w:val="00D80232"/>
    <w:rPr>
      <w:rFonts w:cstheme="majorBidi"/>
      <w:b/>
      <w:bCs/>
      <w:color w:val="0F4761" w:themeColor="accent1" w:themeShade="BF"/>
    </w:rPr>
  </w:style>
  <w:style w:type="character" w:customStyle="1" w:styleId="70">
    <w:name w:val="标题 7 字符"/>
    <w:basedOn w:val="a0"/>
    <w:link w:val="7"/>
    <w:uiPriority w:val="9"/>
    <w:semiHidden/>
    <w:rsid w:val="00D80232"/>
    <w:rPr>
      <w:rFonts w:cstheme="majorBidi"/>
      <w:b/>
      <w:bCs/>
      <w:color w:val="595959" w:themeColor="text1" w:themeTint="A6"/>
    </w:rPr>
  </w:style>
  <w:style w:type="character" w:customStyle="1" w:styleId="80">
    <w:name w:val="标题 8 字符"/>
    <w:basedOn w:val="a0"/>
    <w:link w:val="8"/>
    <w:uiPriority w:val="9"/>
    <w:semiHidden/>
    <w:rsid w:val="00D80232"/>
    <w:rPr>
      <w:rFonts w:cstheme="majorBidi"/>
      <w:color w:val="595959" w:themeColor="text1" w:themeTint="A6"/>
    </w:rPr>
  </w:style>
  <w:style w:type="character" w:customStyle="1" w:styleId="90">
    <w:name w:val="标题 9 字符"/>
    <w:basedOn w:val="a0"/>
    <w:link w:val="9"/>
    <w:uiPriority w:val="9"/>
    <w:semiHidden/>
    <w:rsid w:val="00D80232"/>
    <w:rPr>
      <w:rFonts w:eastAsiaTheme="majorEastAsia" w:cstheme="majorBidi"/>
      <w:color w:val="595959" w:themeColor="text1" w:themeTint="A6"/>
    </w:rPr>
  </w:style>
  <w:style w:type="paragraph" w:styleId="a3">
    <w:name w:val="Title"/>
    <w:basedOn w:val="a"/>
    <w:next w:val="a"/>
    <w:link w:val="a4"/>
    <w:uiPriority w:val="10"/>
    <w:qFormat/>
    <w:rsid w:val="00D8023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802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023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802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0232"/>
    <w:pPr>
      <w:spacing w:before="160"/>
      <w:jc w:val="center"/>
    </w:pPr>
    <w:rPr>
      <w:i/>
      <w:iCs/>
      <w:color w:val="404040" w:themeColor="text1" w:themeTint="BF"/>
    </w:rPr>
  </w:style>
  <w:style w:type="character" w:customStyle="1" w:styleId="a8">
    <w:name w:val="引用 字符"/>
    <w:basedOn w:val="a0"/>
    <w:link w:val="a7"/>
    <w:uiPriority w:val="29"/>
    <w:rsid w:val="00D80232"/>
    <w:rPr>
      <w:i/>
      <w:iCs/>
      <w:color w:val="404040" w:themeColor="text1" w:themeTint="BF"/>
    </w:rPr>
  </w:style>
  <w:style w:type="paragraph" w:styleId="a9">
    <w:name w:val="List Paragraph"/>
    <w:basedOn w:val="a"/>
    <w:uiPriority w:val="34"/>
    <w:qFormat/>
    <w:rsid w:val="00D80232"/>
    <w:pPr>
      <w:ind w:left="720"/>
      <w:contextualSpacing/>
    </w:pPr>
  </w:style>
  <w:style w:type="character" w:styleId="aa">
    <w:name w:val="Intense Emphasis"/>
    <w:basedOn w:val="a0"/>
    <w:uiPriority w:val="21"/>
    <w:qFormat/>
    <w:rsid w:val="00D80232"/>
    <w:rPr>
      <w:i/>
      <w:iCs/>
      <w:color w:val="0F4761" w:themeColor="accent1" w:themeShade="BF"/>
    </w:rPr>
  </w:style>
  <w:style w:type="paragraph" w:styleId="ab">
    <w:name w:val="Intense Quote"/>
    <w:basedOn w:val="a"/>
    <w:next w:val="a"/>
    <w:link w:val="ac"/>
    <w:uiPriority w:val="30"/>
    <w:qFormat/>
    <w:rsid w:val="00D80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80232"/>
    <w:rPr>
      <w:i/>
      <w:iCs/>
      <w:color w:val="0F4761" w:themeColor="accent1" w:themeShade="BF"/>
    </w:rPr>
  </w:style>
  <w:style w:type="character" w:styleId="ad">
    <w:name w:val="Intense Reference"/>
    <w:basedOn w:val="a0"/>
    <w:uiPriority w:val="32"/>
    <w:qFormat/>
    <w:rsid w:val="00D80232"/>
    <w:rPr>
      <w:b/>
      <w:bCs/>
      <w:smallCaps/>
      <w:color w:val="0F4761" w:themeColor="accent1" w:themeShade="BF"/>
      <w:spacing w:val="5"/>
    </w:rPr>
  </w:style>
  <w:style w:type="paragraph" w:styleId="ae">
    <w:name w:val="caption"/>
    <w:basedOn w:val="a"/>
    <w:next w:val="a"/>
    <w:uiPriority w:val="35"/>
    <w:unhideWhenUsed/>
    <w:qFormat/>
    <w:rsid w:val="00F50861"/>
    <w:rPr>
      <w:rFonts w:asciiTheme="majorHAnsi" w:eastAsia="黑体" w:hAnsiTheme="majorHAnsi" w:cstheme="majorBidi"/>
      <w:sz w:val="20"/>
      <w:szCs w:val="20"/>
    </w:rPr>
  </w:style>
  <w:style w:type="character" w:styleId="af">
    <w:name w:val="Emphasis"/>
    <w:basedOn w:val="a0"/>
    <w:uiPriority w:val="20"/>
    <w:qFormat/>
    <w:rsid w:val="00CD5440"/>
    <w:rPr>
      <w:i/>
      <w:iCs/>
    </w:rPr>
  </w:style>
  <w:style w:type="character" w:styleId="af0">
    <w:name w:val="Placeholder Text"/>
    <w:basedOn w:val="a0"/>
    <w:uiPriority w:val="99"/>
    <w:semiHidden/>
    <w:rsid w:val="00754A5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84" Type="http://schemas.openxmlformats.org/officeDocument/2006/relationships/image" Target="media/image81.png"/><Relationship Id="rId89" Type="http://schemas.openxmlformats.org/officeDocument/2006/relationships/image" Target="media/image86.png"/><Relationship Id="rId16" Type="http://schemas.openxmlformats.org/officeDocument/2006/relationships/image" Target="media/image13.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102" Type="http://schemas.openxmlformats.org/officeDocument/2006/relationships/image" Target="media/image99.png"/><Relationship Id="rId5" Type="http://schemas.openxmlformats.org/officeDocument/2006/relationships/image" Target="media/image2.png"/><Relationship Id="rId90" Type="http://schemas.openxmlformats.org/officeDocument/2006/relationships/image" Target="media/image87.png"/><Relationship Id="rId95" Type="http://schemas.openxmlformats.org/officeDocument/2006/relationships/image" Target="media/image92.png"/><Relationship Id="rId22" Type="http://schemas.openxmlformats.org/officeDocument/2006/relationships/image" Target="media/image19.png"/><Relationship Id="rId27" Type="http://schemas.openxmlformats.org/officeDocument/2006/relationships/image" Target="media/image24.emf"/><Relationship Id="rId43" Type="http://schemas.openxmlformats.org/officeDocument/2006/relationships/image" Target="media/image40.png"/><Relationship Id="rId48" Type="http://schemas.openxmlformats.org/officeDocument/2006/relationships/image" Target="media/image45.png"/><Relationship Id="rId64" Type="http://schemas.openxmlformats.org/officeDocument/2006/relationships/image" Target="media/image61.png"/><Relationship Id="rId69" Type="http://schemas.openxmlformats.org/officeDocument/2006/relationships/image" Target="media/image66.png"/><Relationship Id="rId80" Type="http://schemas.openxmlformats.org/officeDocument/2006/relationships/image" Target="media/image77.png"/><Relationship Id="rId85" Type="http://schemas.openxmlformats.org/officeDocument/2006/relationships/image" Target="media/image82.png"/><Relationship Id="rId12" Type="http://schemas.openxmlformats.org/officeDocument/2006/relationships/image" Target="media/image9.png"/><Relationship Id="rId17" Type="http://schemas.openxmlformats.org/officeDocument/2006/relationships/image" Target="media/image14.png"/><Relationship Id="rId33" Type="http://schemas.openxmlformats.org/officeDocument/2006/relationships/image" Target="media/image30.png"/><Relationship Id="rId38" Type="http://schemas.openxmlformats.org/officeDocument/2006/relationships/image" Target="media/image35.png"/><Relationship Id="rId59" Type="http://schemas.openxmlformats.org/officeDocument/2006/relationships/image" Target="media/image56.png"/><Relationship Id="rId103" Type="http://schemas.openxmlformats.org/officeDocument/2006/relationships/image" Target="media/image100.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83" Type="http://schemas.openxmlformats.org/officeDocument/2006/relationships/image" Target="media/image80.png"/><Relationship Id="rId88" Type="http://schemas.openxmlformats.org/officeDocument/2006/relationships/image" Target="media/image85.png"/><Relationship Id="rId91" Type="http://schemas.openxmlformats.org/officeDocument/2006/relationships/image" Target="media/image88.png"/><Relationship Id="rId96" Type="http://schemas.openxmlformats.org/officeDocument/2006/relationships/image" Target="media/image93.png"/><Relationship Id="rId1" Type="http://schemas.openxmlformats.org/officeDocument/2006/relationships/numbering" Target="numbering.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emf"/><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image" Target="media/image78.png"/><Relationship Id="rId86" Type="http://schemas.openxmlformats.org/officeDocument/2006/relationships/image" Target="media/image83.png"/><Relationship Id="rId94" Type="http://schemas.openxmlformats.org/officeDocument/2006/relationships/image" Target="media/image91.png"/><Relationship Id="rId99" Type="http://schemas.openxmlformats.org/officeDocument/2006/relationships/image" Target="media/image96.png"/><Relationship Id="rId101" Type="http://schemas.openxmlformats.org/officeDocument/2006/relationships/image" Target="media/image98.png"/><Relationship Id="rId4" Type="http://schemas.openxmlformats.org/officeDocument/2006/relationships/webSettings" Target="webSettings.xml"/><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97" Type="http://schemas.openxmlformats.org/officeDocument/2006/relationships/image" Target="media/image94.png"/><Relationship Id="rId104" Type="http://schemas.openxmlformats.org/officeDocument/2006/relationships/fontTable" Target="fontTable.xml"/><Relationship Id="rId7" Type="http://schemas.openxmlformats.org/officeDocument/2006/relationships/image" Target="media/image4.png"/><Relationship Id="rId71" Type="http://schemas.openxmlformats.org/officeDocument/2006/relationships/image" Target="media/image68.png"/><Relationship Id="rId92" Type="http://schemas.openxmlformats.org/officeDocument/2006/relationships/image" Target="media/image89.png"/><Relationship Id="rId2" Type="http://schemas.openxmlformats.org/officeDocument/2006/relationships/styles" Target="style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 Id="rId87" Type="http://schemas.openxmlformats.org/officeDocument/2006/relationships/image" Target="media/image84.png"/><Relationship Id="rId61" Type="http://schemas.openxmlformats.org/officeDocument/2006/relationships/image" Target="media/image58.png"/><Relationship Id="rId82" Type="http://schemas.openxmlformats.org/officeDocument/2006/relationships/image" Target="media/image79.png"/><Relationship Id="rId19" Type="http://schemas.openxmlformats.org/officeDocument/2006/relationships/image" Target="media/image16.png"/><Relationship Id="rId14" Type="http://schemas.openxmlformats.org/officeDocument/2006/relationships/image" Target="media/image11.png"/><Relationship Id="rId30" Type="http://schemas.openxmlformats.org/officeDocument/2006/relationships/image" Target="media/image27.png"/><Relationship Id="rId35" Type="http://schemas.openxmlformats.org/officeDocument/2006/relationships/image" Target="media/image32.png"/><Relationship Id="rId56" Type="http://schemas.openxmlformats.org/officeDocument/2006/relationships/image" Target="media/image53.png"/><Relationship Id="rId77" Type="http://schemas.openxmlformats.org/officeDocument/2006/relationships/image" Target="media/image74.png"/><Relationship Id="rId100" Type="http://schemas.openxmlformats.org/officeDocument/2006/relationships/image" Target="media/image97.png"/><Relationship Id="rId105" Type="http://schemas.openxmlformats.org/officeDocument/2006/relationships/theme" Target="theme/theme1.xml"/><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93" Type="http://schemas.openxmlformats.org/officeDocument/2006/relationships/image" Target="media/image90.png"/><Relationship Id="rId98" Type="http://schemas.openxmlformats.org/officeDocument/2006/relationships/image" Target="media/image95.png"/><Relationship Id="rId3" Type="http://schemas.openxmlformats.org/officeDocument/2006/relationships/settings" Target="settings.xml"/><Relationship Id="rId25" Type="http://schemas.openxmlformats.org/officeDocument/2006/relationships/image" Target="media/image22.png"/><Relationship Id="rId46" Type="http://schemas.openxmlformats.org/officeDocument/2006/relationships/image" Target="media/image43.png"/><Relationship Id="rId67" Type="http://schemas.openxmlformats.org/officeDocument/2006/relationships/image" Target="media/image6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628</TotalTime>
  <Pages>69</Pages>
  <Words>5831</Words>
  <Characters>33243</Characters>
  <Application>Microsoft Office Word</Application>
  <DocSecurity>0</DocSecurity>
  <Lines>277</Lines>
  <Paragraphs>77</Paragraphs>
  <ScaleCrop>false</ScaleCrop>
  <Company/>
  <LinksUpToDate>false</LinksUpToDate>
  <CharactersWithSpaces>38997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e69900</dc:creator>
  <cp:keywords/>
  <dc:description/>
  <cp:lastModifiedBy>e69900</cp:lastModifiedBy>
  <cp:revision>1041</cp:revision>
  <dcterms:created xsi:type="dcterms:W3CDTF">2026-10-08T00:57:00Z</dcterms:created>
  <dcterms:modified xsi:type="dcterms:W3CDTF">2026-10-13T02:54:00Z</dcterms:modified>
</cp:coreProperties>
</file>