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185A30" w14:textId="307D3371" w:rsidR="00FE6017" w:rsidRDefault="006139F3" w:rsidP="000E3FFE">
      <w:pPr>
        <w:pStyle w:val="1"/>
      </w:pPr>
      <w:proofErr w:type="spellStart"/>
      <w:r>
        <w:rPr>
          <w:rFonts w:hint="eastAsia"/>
        </w:rPr>
        <w:t>A</w:t>
      </w:r>
      <w:r>
        <w:t>.</w:t>
      </w:r>
      <w:proofErr w:type="gramStart"/>
      <w:r>
        <w:t>O.Simth</w:t>
      </w:r>
      <w:proofErr w:type="spellEnd"/>
      <w:proofErr w:type="gramEnd"/>
    </w:p>
    <w:p w14:paraId="223B1505" w14:textId="0DD78118" w:rsidR="000E53A1" w:rsidRDefault="001601CD" w:rsidP="00F33D65">
      <w:pPr>
        <w:pStyle w:val="2"/>
        <w:rPr>
          <w:rFonts w:hint="eastAsia"/>
        </w:rPr>
      </w:pPr>
      <w:r>
        <w:rPr>
          <w:rFonts w:hint="eastAsia"/>
        </w:rPr>
        <w:t>结论</w:t>
      </w:r>
    </w:p>
    <w:p w14:paraId="56FA7C60" w14:textId="3E278B9A" w:rsidR="00B57683" w:rsidRDefault="000E53A1">
      <w:r w:rsidRPr="000E53A1">
        <w:t>热水器行业的需求本质是存量装机的被动更换，不是订单驱动，这决定了行业没有明显的备货缓冲，任何一次需求脉冲（</w:t>
      </w:r>
      <w:r>
        <w:rPr>
          <w:rFonts w:hint="eastAsia"/>
        </w:rPr>
        <w:t>突发事件</w:t>
      </w:r>
      <w:r w:rsidRPr="000E53A1">
        <w:t>囤货、监管新规抢装）都会先表现为交期问题，再传导成渠道库存周期，而不是终端需求本身的剧烈波动。供给侧是产能本土化、股权结构分散的双寡头格局，没有低价进口供给可以绕开成本冲击</w:t>
      </w:r>
      <w:r w:rsidR="00165646">
        <w:rPr>
          <w:rFonts w:hint="eastAsia"/>
        </w:rPr>
        <w:t>，</w:t>
      </w:r>
      <w:r w:rsidRPr="000E53A1">
        <w:t>这意味着钢铝关税这类冲击会被全行业同步转嫁，是一个"提价能力"</w:t>
      </w:r>
      <w:r w:rsidR="00997ECB">
        <w:rPr>
          <w:rFonts w:hint="eastAsia"/>
        </w:rPr>
        <w:t>重于</w:t>
      </w:r>
      <w:r w:rsidRPr="000E53A1">
        <w:t>"抢份额"的行业。总量层面，北美住宅热水器年需求约920万台的盘子没有趋势性增长，唯一具备持续性的结构变量是燃料结构切换</w:t>
      </w:r>
      <w:r w:rsidR="00904BD6" w:rsidRPr="00B57683">
        <w:t>——从燃气转向电/热泵</w:t>
      </w:r>
      <w:r w:rsidRPr="000E53A1">
        <w:t>，这对</w:t>
      </w:r>
      <w:r w:rsidR="00D14695">
        <w:rPr>
          <w:rFonts w:hint="eastAsia"/>
        </w:rPr>
        <w:t>以</w:t>
      </w:r>
      <w:r w:rsidRPr="000E53A1">
        <w:t>燃气储水式</w:t>
      </w:r>
      <w:r w:rsidR="00D14695">
        <w:rPr>
          <w:rFonts w:hint="eastAsia"/>
        </w:rPr>
        <w:t>为主</w:t>
      </w:r>
      <w:r w:rsidRPr="000E53A1">
        <w:t>的AOS</w:t>
      </w:r>
      <w:r w:rsidR="00D14695">
        <w:rPr>
          <w:rFonts w:hint="eastAsia"/>
        </w:rPr>
        <w:t>带来了</w:t>
      </w:r>
      <w:r w:rsidRPr="000E53A1">
        <w:t>压力。</w:t>
      </w:r>
      <w:r w:rsidR="00006D8C" w:rsidRPr="00006D8C">
        <w:t>中国作为AOS第二大终端市场，已经不是普通的周期性疲软，而是加速恶化，公司</w:t>
      </w:r>
      <w:r w:rsidR="00006D8C">
        <w:rPr>
          <w:rFonts w:hint="eastAsia"/>
        </w:rPr>
        <w:t>目前</w:t>
      </w:r>
      <w:r w:rsidR="00006D8C" w:rsidRPr="00006D8C">
        <w:t>已启动战略评估。</w:t>
      </w:r>
    </w:p>
    <w:p w14:paraId="5821A46E" w14:textId="30CD196B" w:rsidR="008D0EEB" w:rsidRDefault="0012106C">
      <w:pPr>
        <w:rPr>
          <w:rFonts w:hint="eastAsia"/>
        </w:rPr>
      </w:pPr>
      <w:r>
        <w:rPr>
          <w:rFonts w:hint="eastAsia"/>
        </w:rPr>
        <w:t>结论：不具备投资价值，建议放弃。</w:t>
      </w:r>
    </w:p>
    <w:p w14:paraId="1695567B" w14:textId="77777777" w:rsidR="00954E06" w:rsidRDefault="00954E06">
      <w:pPr>
        <w:rPr>
          <w:rFonts w:hint="eastAsia"/>
        </w:rPr>
      </w:pPr>
    </w:p>
    <w:p w14:paraId="6254E2DA" w14:textId="58EF6C23" w:rsidR="006139F3" w:rsidRPr="00686847" w:rsidRDefault="00847674" w:rsidP="00686847">
      <w:pPr>
        <w:pStyle w:val="3"/>
      </w:pPr>
      <w:r>
        <w:rPr>
          <w:rFonts w:hint="eastAsia"/>
        </w:rPr>
        <w:t>历史沿革</w:t>
      </w:r>
    </w:p>
    <w:p w14:paraId="3D898344" w14:textId="77833986" w:rsidR="006139F3" w:rsidRDefault="00CD3002">
      <w:pPr>
        <w:rPr>
          <w:rFonts w:ascii="Segoe UI" w:eastAsia="宋体" w:hAnsi="Segoe UI" w:cs="Segoe UI"/>
          <w:kern w:val="0"/>
          <w:sz w:val="21"/>
          <w:szCs w:val="21"/>
          <w14:ligatures w14:val="none"/>
        </w:rPr>
      </w:pPr>
      <w:r w:rsidRPr="00CD3002">
        <w:rPr>
          <w:rFonts w:ascii="Segoe UI" w:eastAsia="宋体" w:hAnsi="Segoe UI" w:cs="Segoe UI"/>
          <w:kern w:val="0"/>
          <w:sz w:val="21"/>
          <w:szCs w:val="21"/>
          <w14:ligatures w14:val="none"/>
        </w:rPr>
        <w:t xml:space="preserve">150 </w:t>
      </w:r>
      <w:r w:rsidRPr="00CD3002">
        <w:rPr>
          <w:rFonts w:ascii="Segoe UI" w:eastAsia="宋体" w:hAnsi="Segoe UI" w:cs="Segoe UI"/>
          <w:kern w:val="0"/>
          <w:sz w:val="21"/>
          <w:szCs w:val="21"/>
          <w14:ligatures w14:val="none"/>
        </w:rPr>
        <w:t>年里公司两次彻底换过主业（汽车车架</w:t>
      </w:r>
      <w:r w:rsidRPr="00CD3002">
        <w:rPr>
          <w:rFonts w:ascii="Segoe UI" w:eastAsia="宋体" w:hAnsi="Segoe UI" w:cs="Segoe UI"/>
          <w:kern w:val="0"/>
          <w:sz w:val="21"/>
          <w:szCs w:val="21"/>
          <w14:ligatures w14:val="none"/>
        </w:rPr>
        <w:t>→</w:t>
      </w:r>
      <w:r w:rsidRPr="00CD3002">
        <w:rPr>
          <w:rFonts w:ascii="Segoe UI" w:eastAsia="宋体" w:hAnsi="Segoe UI" w:cs="Segoe UI"/>
          <w:kern w:val="0"/>
          <w:sz w:val="21"/>
          <w:szCs w:val="21"/>
          <w14:ligatures w14:val="none"/>
        </w:rPr>
        <w:t>热水器），此后所有动作都是在</w:t>
      </w:r>
      <w:r w:rsidRPr="00CD3002">
        <w:rPr>
          <w:rFonts w:ascii="Segoe UI" w:eastAsia="宋体" w:hAnsi="Segoe UI" w:cs="Segoe UI"/>
          <w:kern w:val="0"/>
          <w:sz w:val="21"/>
          <w:szCs w:val="21"/>
          <w14:ligatures w14:val="none"/>
        </w:rPr>
        <w:t>"</w:t>
      </w:r>
      <w:r w:rsidRPr="00CD3002">
        <w:rPr>
          <w:rFonts w:ascii="Segoe UI" w:eastAsia="宋体" w:hAnsi="Segoe UI" w:cs="Segoe UI"/>
          <w:kern w:val="0"/>
          <w:sz w:val="21"/>
          <w:szCs w:val="21"/>
          <w14:ligatures w14:val="none"/>
        </w:rPr>
        <w:t>水</w:t>
      </w:r>
      <w:r w:rsidRPr="00CD3002">
        <w:rPr>
          <w:rFonts w:ascii="Segoe UI" w:eastAsia="宋体" w:hAnsi="Segoe UI" w:cs="Segoe UI"/>
          <w:kern w:val="0"/>
          <w:sz w:val="21"/>
          <w:szCs w:val="21"/>
          <w14:ligatures w14:val="none"/>
        </w:rPr>
        <w:t>"</w:t>
      </w:r>
      <w:r w:rsidRPr="00CD3002">
        <w:rPr>
          <w:rFonts w:ascii="Segoe UI" w:eastAsia="宋体" w:hAnsi="Segoe UI" w:cs="Segoe UI"/>
          <w:kern w:val="0"/>
          <w:sz w:val="21"/>
          <w:szCs w:val="21"/>
          <w14:ligatures w14:val="none"/>
        </w:rPr>
        <w:t>这条主线上做边界扩张</w:t>
      </w:r>
      <w:r w:rsidRPr="00CD3002">
        <w:rPr>
          <w:rFonts w:ascii="Segoe UI" w:eastAsia="宋体" w:hAnsi="Segoe UI" w:cs="Segoe UI"/>
          <w:kern w:val="0"/>
          <w:sz w:val="21"/>
          <w:szCs w:val="21"/>
          <w14:ligatures w14:val="none"/>
        </w:rPr>
        <w:t>——</w:t>
      </w:r>
      <w:r w:rsidRPr="00CD3002">
        <w:rPr>
          <w:rFonts w:ascii="Segoe UI" w:eastAsia="宋体" w:hAnsi="Segoe UI" w:cs="Segoe UI"/>
          <w:kern w:val="0"/>
          <w:sz w:val="21"/>
          <w:szCs w:val="21"/>
          <w14:ligatures w14:val="none"/>
        </w:rPr>
        <w:t>从产品到组合、从北美到中国、从热水器到水处理。家族控制权（</w:t>
      </w:r>
      <w:r w:rsidRPr="00CD3002">
        <w:rPr>
          <w:rFonts w:ascii="Segoe UI" w:eastAsia="宋体" w:hAnsi="Segoe UI" w:cs="Segoe UI"/>
          <w:kern w:val="0"/>
          <w:sz w:val="21"/>
          <w:szCs w:val="21"/>
          <w14:ligatures w14:val="none"/>
        </w:rPr>
        <w:t xml:space="preserve">Smith </w:t>
      </w:r>
      <w:r w:rsidRPr="00CD3002">
        <w:rPr>
          <w:rFonts w:ascii="Segoe UI" w:eastAsia="宋体" w:hAnsi="Segoe UI" w:cs="Segoe UI"/>
          <w:kern w:val="0"/>
          <w:sz w:val="21"/>
          <w:szCs w:val="21"/>
          <w14:ligatures w14:val="none"/>
        </w:rPr>
        <w:t>家族投票信托，</w:t>
      </w:r>
      <w:r w:rsidRPr="00CD3002">
        <w:rPr>
          <w:rFonts w:ascii="Segoe UI" w:eastAsia="宋体" w:hAnsi="Segoe UI" w:cs="Segoe UI"/>
          <w:kern w:val="0"/>
          <w:sz w:val="21"/>
          <w:szCs w:val="21"/>
          <w14:ligatures w14:val="none"/>
        </w:rPr>
        <w:t xml:space="preserve">FY2025 </w:t>
      </w:r>
      <w:r w:rsidRPr="00CD3002">
        <w:rPr>
          <w:rFonts w:ascii="Segoe UI" w:eastAsia="宋体" w:hAnsi="Segoe UI" w:cs="Segoe UI"/>
          <w:kern w:val="0"/>
          <w:sz w:val="21"/>
          <w:szCs w:val="21"/>
          <w14:ligatures w14:val="none"/>
        </w:rPr>
        <w:t>合并投票权</w:t>
      </w:r>
      <w:r w:rsidRPr="00CD3002">
        <w:rPr>
          <w:rFonts w:ascii="Segoe UI" w:eastAsia="宋体" w:hAnsi="Segoe UI" w:cs="Segoe UI"/>
          <w:kern w:val="0"/>
          <w:sz w:val="21"/>
          <w:szCs w:val="21"/>
          <w14:ligatures w14:val="none"/>
        </w:rPr>
        <w:t xml:space="preserve"> 67.8%</w:t>
      </w:r>
      <w:r w:rsidRPr="00CD3002">
        <w:rPr>
          <w:rFonts w:ascii="Segoe UI" w:eastAsia="宋体" w:hAnsi="Segoe UI" w:cs="Segoe UI"/>
          <w:kern w:val="0"/>
          <w:sz w:val="21"/>
          <w:szCs w:val="21"/>
          <w14:ligatures w14:val="none"/>
        </w:rPr>
        <w:t>）贯穿始终，是理解其战略耐心的背景。</w:t>
      </w:r>
    </w:p>
    <w:p w14:paraId="0D6ED61E" w14:textId="3BD0EA6C" w:rsidR="001478A1" w:rsidRDefault="001478A1" w:rsidP="001478A1">
      <w:pPr>
        <w:pStyle w:val="ae"/>
        <w:shd w:val="clear" w:color="auto" w:fill="FFFFFF"/>
        <w:spacing w:before="180" w:beforeAutospacing="0" w:after="180" w:afterAutospacing="0"/>
        <w:rPr>
          <w:rFonts w:ascii="Segoe UI" w:hAnsi="Segoe UI" w:cs="Segoe UI"/>
          <w:sz w:val="21"/>
          <w:szCs w:val="21"/>
        </w:rPr>
      </w:pPr>
      <w:r>
        <w:rPr>
          <w:rStyle w:val="af"/>
          <w:rFonts w:ascii="Segoe UI" w:hAnsi="Segoe UI" w:cs="Segoe UI"/>
          <w:sz w:val="21"/>
          <w:szCs w:val="21"/>
        </w:rPr>
        <w:t>1874–1920s</w:t>
      </w:r>
      <w:r>
        <w:rPr>
          <w:rStyle w:val="af"/>
          <w:rFonts w:ascii="Segoe UI" w:hAnsi="Segoe UI" w:cs="Segoe UI"/>
          <w:sz w:val="21"/>
          <w:szCs w:val="21"/>
        </w:rPr>
        <w:t>，铁匠铺到汽车车架。</w:t>
      </w:r>
      <w:r>
        <w:rPr>
          <w:rFonts w:ascii="Segoe UI" w:hAnsi="Segoe UI" w:cs="Segoe UI"/>
          <w:sz w:val="21"/>
          <w:szCs w:val="21"/>
        </w:rPr>
        <w:t xml:space="preserve">​ Charles J. Smith 1874 </w:t>
      </w:r>
      <w:r>
        <w:rPr>
          <w:rFonts w:ascii="Segoe UI" w:hAnsi="Segoe UI" w:cs="Segoe UI"/>
          <w:sz w:val="21"/>
          <w:szCs w:val="21"/>
        </w:rPr>
        <w:t>年在密尔沃基创立五金作坊；其子</w:t>
      </w:r>
      <w:r>
        <w:rPr>
          <w:rFonts w:ascii="Segoe UI" w:hAnsi="Segoe UI" w:cs="Segoe UI"/>
          <w:sz w:val="21"/>
          <w:szCs w:val="21"/>
        </w:rPr>
        <w:t xml:space="preserve"> Arthur O. Smith 1899 </w:t>
      </w:r>
      <w:r>
        <w:rPr>
          <w:rFonts w:ascii="Segoe UI" w:hAnsi="Segoe UI" w:cs="Segoe UI"/>
          <w:sz w:val="21"/>
          <w:szCs w:val="21"/>
        </w:rPr>
        <w:t>年开发出压制钢汽车车架工艺，</w:t>
      </w:r>
      <w:r>
        <w:rPr>
          <w:rFonts w:ascii="Segoe UI" w:hAnsi="Segoe UI" w:cs="Segoe UI"/>
          <w:sz w:val="21"/>
          <w:szCs w:val="21"/>
        </w:rPr>
        <w:t xml:space="preserve">1921 </w:t>
      </w:r>
      <w:r>
        <w:rPr>
          <w:rFonts w:ascii="Segoe UI" w:hAnsi="Segoe UI" w:cs="Segoe UI"/>
          <w:sz w:val="21"/>
          <w:szCs w:val="21"/>
        </w:rPr>
        <w:t>年建成全自动化车架厂。高峰期供应北美约三分之二汽车车架，福特是主要客户。</w:t>
      </w:r>
    </w:p>
    <w:p w14:paraId="7018EB47" w14:textId="58BE01C8" w:rsidR="001478A1" w:rsidRDefault="001478A1" w:rsidP="001478A1">
      <w:pPr>
        <w:pStyle w:val="ae"/>
        <w:shd w:val="clear" w:color="auto" w:fill="FFFFFF"/>
        <w:spacing w:before="180" w:beforeAutospacing="0" w:after="180" w:afterAutospacing="0"/>
        <w:rPr>
          <w:rFonts w:ascii="Segoe UI" w:hAnsi="Segoe UI" w:cs="Segoe UI"/>
          <w:sz w:val="21"/>
          <w:szCs w:val="21"/>
        </w:rPr>
      </w:pPr>
      <w:r>
        <w:rPr>
          <w:rStyle w:val="af"/>
          <w:rFonts w:ascii="Segoe UI" w:hAnsi="Segoe UI" w:cs="Segoe UI"/>
          <w:sz w:val="21"/>
          <w:szCs w:val="21"/>
        </w:rPr>
        <w:t>1936–1940s</w:t>
      </w:r>
      <w:r>
        <w:rPr>
          <w:rStyle w:val="af"/>
          <w:rFonts w:ascii="Segoe UI" w:hAnsi="Segoe UI" w:cs="Segoe UI"/>
          <w:sz w:val="21"/>
          <w:szCs w:val="21"/>
        </w:rPr>
        <w:t>，玻璃搪瓷工艺迁移出第二主业。</w:t>
      </w:r>
      <w:r>
        <w:rPr>
          <w:rFonts w:ascii="Segoe UI" w:hAnsi="Segoe UI" w:cs="Segoe UI"/>
          <w:sz w:val="21"/>
          <w:szCs w:val="21"/>
        </w:rPr>
        <w:t xml:space="preserve">​ 1936 </w:t>
      </w:r>
      <w:r>
        <w:rPr>
          <w:rFonts w:ascii="Segoe UI" w:hAnsi="Segoe UI" w:cs="Segoe UI"/>
          <w:sz w:val="21"/>
          <w:szCs w:val="21"/>
        </w:rPr>
        <w:t>年取得钢体玻璃衬里工艺专利，最初用于啤酒罐；</w:t>
      </w:r>
      <w:r>
        <w:rPr>
          <w:rFonts w:ascii="Segoe UI" w:hAnsi="Segoe UI" w:cs="Segoe UI"/>
          <w:sz w:val="21"/>
          <w:szCs w:val="21"/>
        </w:rPr>
        <w:t xml:space="preserve">1940 </w:t>
      </w:r>
      <w:r>
        <w:rPr>
          <w:rFonts w:ascii="Segoe UI" w:hAnsi="Segoe UI" w:cs="Segoe UI"/>
          <w:sz w:val="21"/>
          <w:szCs w:val="21"/>
        </w:rPr>
        <w:t>年代末移植到家用热水器，解决水箱腐蚀寿命问题。这次技术迁移创造了延续至今的主业</w:t>
      </w:r>
      <w:r>
        <w:rPr>
          <w:rFonts w:ascii="Segoe UI" w:hAnsi="Segoe UI" w:cs="Segoe UI"/>
          <w:sz w:val="21"/>
          <w:szCs w:val="21"/>
        </w:rPr>
        <w:t>——</w:t>
      </w:r>
      <w:r>
        <w:rPr>
          <w:rFonts w:ascii="Segoe UI" w:hAnsi="Segoe UI" w:cs="Segoe UI"/>
          <w:sz w:val="21"/>
          <w:szCs w:val="21"/>
        </w:rPr>
        <w:t>热水器是此后</w:t>
      </w:r>
      <w:r>
        <w:rPr>
          <w:rFonts w:ascii="Segoe UI" w:hAnsi="Segoe UI" w:cs="Segoe UI"/>
          <w:sz w:val="21"/>
          <w:szCs w:val="21"/>
        </w:rPr>
        <w:t xml:space="preserve"> 80 </w:t>
      </w:r>
      <w:r>
        <w:rPr>
          <w:rFonts w:ascii="Segoe UI" w:hAnsi="Segoe UI" w:cs="Segoe UI"/>
          <w:sz w:val="21"/>
          <w:szCs w:val="21"/>
        </w:rPr>
        <w:t>年公司收入的核心。</w:t>
      </w:r>
    </w:p>
    <w:p w14:paraId="0706ED58" w14:textId="1C3ABC54" w:rsidR="001478A1" w:rsidRDefault="001478A1" w:rsidP="001478A1">
      <w:pPr>
        <w:pStyle w:val="ae"/>
        <w:shd w:val="clear" w:color="auto" w:fill="FFFFFF"/>
        <w:spacing w:before="180" w:beforeAutospacing="0" w:after="180" w:afterAutospacing="0"/>
        <w:rPr>
          <w:rFonts w:ascii="Segoe UI" w:hAnsi="Segoe UI" w:cs="Segoe UI"/>
          <w:sz w:val="21"/>
          <w:szCs w:val="21"/>
        </w:rPr>
      </w:pPr>
      <w:r>
        <w:rPr>
          <w:rStyle w:val="af"/>
          <w:rFonts w:ascii="Segoe UI" w:hAnsi="Segoe UI" w:cs="Segoe UI"/>
          <w:sz w:val="21"/>
          <w:szCs w:val="21"/>
        </w:rPr>
        <w:t>1997</w:t>
      </w:r>
      <w:r>
        <w:rPr>
          <w:rStyle w:val="af"/>
          <w:rFonts w:ascii="Segoe UI" w:hAnsi="Segoe UI" w:cs="Segoe UI"/>
          <w:sz w:val="21"/>
          <w:szCs w:val="21"/>
        </w:rPr>
        <w:t>，退出汽车业务。</w:t>
      </w:r>
      <w:r>
        <w:rPr>
          <w:rFonts w:ascii="Segoe UI" w:hAnsi="Segoe UI" w:cs="Segoe UI"/>
          <w:sz w:val="21"/>
          <w:szCs w:val="21"/>
        </w:rPr>
        <w:t xml:space="preserve">​ </w:t>
      </w:r>
      <w:r>
        <w:rPr>
          <w:rFonts w:ascii="Segoe UI" w:hAnsi="Segoe UI" w:cs="Segoe UI"/>
          <w:sz w:val="21"/>
          <w:szCs w:val="21"/>
        </w:rPr>
        <w:t>将汽车产品公司售予</w:t>
      </w:r>
      <w:r>
        <w:rPr>
          <w:rFonts w:ascii="Segoe UI" w:hAnsi="Segoe UI" w:cs="Segoe UI"/>
          <w:sz w:val="21"/>
          <w:szCs w:val="21"/>
        </w:rPr>
        <w:t xml:space="preserve"> Tower Automotive</w:t>
      </w:r>
      <w:r>
        <w:rPr>
          <w:rFonts w:ascii="Segoe UI" w:hAnsi="Segoe UI" w:cs="Segoe UI"/>
          <w:sz w:val="21"/>
          <w:szCs w:val="21"/>
        </w:rPr>
        <w:t>（对价约</w:t>
      </w:r>
      <w:r>
        <w:rPr>
          <w:rFonts w:ascii="Segoe UI" w:hAnsi="Segoe UI" w:cs="Segoe UI"/>
          <w:sz w:val="21"/>
          <w:szCs w:val="21"/>
        </w:rPr>
        <w:t xml:space="preserve"> 7 </w:t>
      </w:r>
      <w:r>
        <w:rPr>
          <w:rFonts w:ascii="Segoe UI" w:hAnsi="Segoe UI" w:cs="Segoe UI"/>
          <w:sz w:val="21"/>
          <w:szCs w:val="21"/>
        </w:rPr>
        <w:t>亿美元），结束约</w:t>
      </w:r>
      <w:r>
        <w:rPr>
          <w:rFonts w:ascii="Segoe UI" w:hAnsi="Segoe UI" w:cs="Segoe UI"/>
          <w:sz w:val="21"/>
          <w:szCs w:val="21"/>
        </w:rPr>
        <w:t xml:space="preserve"> 90 </w:t>
      </w:r>
      <w:r>
        <w:rPr>
          <w:rFonts w:ascii="Segoe UI" w:hAnsi="Segoe UI" w:cs="Segoe UI"/>
          <w:sz w:val="21"/>
          <w:szCs w:val="21"/>
        </w:rPr>
        <w:t>年的车架业务，资源全部集中于热水器。这是公司历史上最果断的一次边界收缩。</w:t>
      </w:r>
    </w:p>
    <w:p w14:paraId="2FCC07AF" w14:textId="2BDB85FA" w:rsidR="001478A1" w:rsidRDefault="001478A1" w:rsidP="001478A1">
      <w:pPr>
        <w:pStyle w:val="ae"/>
        <w:shd w:val="clear" w:color="auto" w:fill="FFFFFF"/>
        <w:spacing w:before="180" w:beforeAutospacing="0" w:after="180" w:afterAutospacing="0"/>
        <w:rPr>
          <w:rFonts w:ascii="Segoe UI" w:hAnsi="Segoe UI" w:cs="Segoe UI"/>
          <w:sz w:val="21"/>
          <w:szCs w:val="21"/>
        </w:rPr>
      </w:pPr>
      <w:r>
        <w:rPr>
          <w:rStyle w:val="af"/>
          <w:rFonts w:ascii="Segoe UI" w:hAnsi="Segoe UI" w:cs="Segoe UI"/>
          <w:sz w:val="21"/>
          <w:szCs w:val="21"/>
        </w:rPr>
        <w:t>1998–2011</w:t>
      </w:r>
      <w:r>
        <w:rPr>
          <w:rStyle w:val="af"/>
          <w:rFonts w:ascii="Segoe UI" w:hAnsi="Segoe UI" w:cs="Segoe UI"/>
          <w:sz w:val="21"/>
          <w:szCs w:val="21"/>
        </w:rPr>
        <w:t>，并购搭组合</w:t>
      </w:r>
      <w:r>
        <w:rPr>
          <w:rStyle w:val="af"/>
          <w:rFonts w:ascii="Segoe UI" w:hAnsi="Segoe UI" w:cs="Segoe UI"/>
          <w:sz w:val="21"/>
          <w:szCs w:val="21"/>
        </w:rPr>
        <w:t xml:space="preserve"> + </w:t>
      </w:r>
      <w:r>
        <w:rPr>
          <w:rStyle w:val="af"/>
          <w:rFonts w:ascii="Segoe UI" w:hAnsi="Segoe UI" w:cs="Segoe UI"/>
          <w:sz w:val="21"/>
          <w:szCs w:val="21"/>
        </w:rPr>
        <w:t>进入中国市场。</w:t>
      </w:r>
      <w:r>
        <w:rPr>
          <w:rFonts w:ascii="Segoe UI" w:hAnsi="Segoe UI" w:cs="Segoe UI"/>
          <w:sz w:val="21"/>
          <w:szCs w:val="21"/>
        </w:rPr>
        <w:t xml:space="preserve">​ 2001 </w:t>
      </w:r>
      <w:r>
        <w:rPr>
          <w:rFonts w:ascii="Segoe UI" w:hAnsi="Segoe UI" w:cs="Segoe UI"/>
          <w:sz w:val="21"/>
          <w:szCs w:val="21"/>
        </w:rPr>
        <w:t>年收购</w:t>
      </w:r>
      <w:r>
        <w:rPr>
          <w:rFonts w:ascii="Segoe UI" w:hAnsi="Segoe UI" w:cs="Segoe UI"/>
          <w:sz w:val="21"/>
          <w:szCs w:val="21"/>
        </w:rPr>
        <w:t xml:space="preserve"> State Industries</w:t>
      </w:r>
      <w:r>
        <w:rPr>
          <w:rFonts w:ascii="Segoe UI" w:hAnsi="Segoe UI" w:cs="Segoe UI"/>
          <w:sz w:val="21"/>
          <w:szCs w:val="21"/>
        </w:rPr>
        <w:t>，</w:t>
      </w:r>
      <w:r>
        <w:rPr>
          <w:rFonts w:ascii="Segoe UI" w:hAnsi="Segoe UI" w:cs="Segoe UI"/>
          <w:sz w:val="21"/>
          <w:szCs w:val="21"/>
        </w:rPr>
        <w:t xml:space="preserve">2006 </w:t>
      </w:r>
      <w:r>
        <w:rPr>
          <w:rFonts w:ascii="Segoe UI" w:hAnsi="Segoe UI" w:cs="Segoe UI"/>
          <w:sz w:val="21"/>
          <w:szCs w:val="21"/>
        </w:rPr>
        <w:t>年收购加拿大</w:t>
      </w:r>
      <w:r>
        <w:rPr>
          <w:rFonts w:ascii="Segoe UI" w:hAnsi="Segoe UI" w:cs="Segoe UI"/>
          <w:sz w:val="21"/>
          <w:szCs w:val="21"/>
        </w:rPr>
        <w:t xml:space="preserve"> GSW</w:t>
      </w:r>
      <w:r>
        <w:rPr>
          <w:rFonts w:ascii="Segoe UI" w:hAnsi="Segoe UI" w:cs="Segoe UI"/>
          <w:sz w:val="21"/>
          <w:szCs w:val="21"/>
        </w:rPr>
        <w:t>，</w:t>
      </w:r>
      <w:r>
        <w:rPr>
          <w:rFonts w:ascii="Segoe UI" w:hAnsi="Segoe UI" w:cs="Segoe UI"/>
          <w:sz w:val="21"/>
          <w:szCs w:val="21"/>
        </w:rPr>
        <w:t xml:space="preserve">2011 </w:t>
      </w:r>
      <w:r>
        <w:rPr>
          <w:rFonts w:ascii="Segoe UI" w:hAnsi="Segoe UI" w:cs="Segoe UI"/>
          <w:sz w:val="21"/>
          <w:szCs w:val="21"/>
        </w:rPr>
        <w:t>年以约</w:t>
      </w:r>
      <w:r>
        <w:rPr>
          <w:rFonts w:ascii="Segoe UI" w:hAnsi="Segoe UI" w:cs="Segoe UI"/>
          <w:sz w:val="21"/>
          <w:szCs w:val="21"/>
        </w:rPr>
        <w:t xml:space="preserve"> 4.18 </w:t>
      </w:r>
      <w:r>
        <w:rPr>
          <w:rFonts w:ascii="Segoe UI" w:hAnsi="Segoe UI" w:cs="Segoe UI"/>
          <w:sz w:val="21"/>
          <w:szCs w:val="21"/>
        </w:rPr>
        <w:t>亿美元收购</w:t>
      </w:r>
      <w:r>
        <w:rPr>
          <w:rFonts w:ascii="Segoe UI" w:hAnsi="Segoe UI" w:cs="Segoe UI"/>
          <w:sz w:val="21"/>
          <w:szCs w:val="21"/>
        </w:rPr>
        <w:t xml:space="preserve"> Lochinvar </w:t>
      </w:r>
      <w:r>
        <w:rPr>
          <w:rFonts w:ascii="Segoe UI" w:hAnsi="Segoe UI" w:cs="Segoe UI"/>
          <w:sz w:val="21"/>
          <w:szCs w:val="21"/>
        </w:rPr>
        <w:t>进入商用锅炉</w:t>
      </w:r>
      <w:r>
        <w:rPr>
          <w:rFonts w:ascii="Segoe UI" w:hAnsi="Segoe UI" w:cs="Segoe UI"/>
          <w:sz w:val="21"/>
          <w:szCs w:val="21"/>
        </w:rPr>
        <w:t>——</w:t>
      </w:r>
      <w:r>
        <w:rPr>
          <w:rFonts w:ascii="Segoe UI" w:hAnsi="Segoe UI" w:cs="Segoe UI"/>
          <w:sz w:val="21"/>
          <w:szCs w:val="21"/>
        </w:rPr>
        <w:t>从单一产品公司变成多品牌热水设备组合。同期</w:t>
      </w:r>
      <w:r>
        <w:rPr>
          <w:rFonts w:ascii="Segoe UI" w:hAnsi="Segoe UI" w:cs="Segoe UI"/>
          <w:sz w:val="21"/>
          <w:szCs w:val="21"/>
        </w:rPr>
        <w:t xml:space="preserve"> 1998 </w:t>
      </w:r>
      <w:r>
        <w:rPr>
          <w:rFonts w:ascii="Segoe UI" w:hAnsi="Segoe UI" w:cs="Segoe UI"/>
          <w:sz w:val="21"/>
          <w:szCs w:val="21"/>
        </w:rPr>
        <w:t>年在南京建厂进入中国，中国</w:t>
      </w:r>
      <w:r w:rsidR="004B25E6">
        <w:rPr>
          <w:rFonts w:ascii="Segoe UI" w:hAnsi="Segoe UI" w:cs="Segoe UI" w:hint="eastAsia"/>
          <w:sz w:val="21"/>
          <w:szCs w:val="21"/>
        </w:rPr>
        <w:t>后来</w:t>
      </w:r>
      <w:r>
        <w:rPr>
          <w:rFonts w:ascii="Segoe UI" w:hAnsi="Segoe UI" w:cs="Segoe UI"/>
          <w:sz w:val="21"/>
          <w:szCs w:val="21"/>
        </w:rPr>
        <w:t>成为第二收入引擎。</w:t>
      </w:r>
    </w:p>
    <w:p w14:paraId="414F9FB0" w14:textId="05592568" w:rsidR="001478A1" w:rsidRDefault="001478A1" w:rsidP="001478A1">
      <w:pPr>
        <w:pStyle w:val="ae"/>
        <w:shd w:val="clear" w:color="auto" w:fill="FFFFFF"/>
        <w:spacing w:before="180" w:beforeAutospacing="0" w:after="180" w:afterAutospacing="0"/>
        <w:rPr>
          <w:rFonts w:ascii="Segoe UI" w:hAnsi="Segoe UI" w:cs="Segoe UI"/>
          <w:sz w:val="21"/>
          <w:szCs w:val="21"/>
        </w:rPr>
      </w:pPr>
      <w:r>
        <w:rPr>
          <w:rStyle w:val="af"/>
          <w:rFonts w:ascii="Segoe UI" w:hAnsi="Segoe UI" w:cs="Segoe UI"/>
          <w:sz w:val="21"/>
          <w:szCs w:val="21"/>
        </w:rPr>
        <w:t>2016–2024</w:t>
      </w:r>
      <w:r>
        <w:rPr>
          <w:rStyle w:val="af"/>
          <w:rFonts w:ascii="Segoe UI" w:hAnsi="Segoe UI" w:cs="Segoe UI"/>
          <w:sz w:val="21"/>
          <w:szCs w:val="21"/>
        </w:rPr>
        <w:t>，向水处理多元化。</w:t>
      </w:r>
      <w:r>
        <w:rPr>
          <w:rFonts w:ascii="Segoe UI" w:hAnsi="Segoe UI" w:cs="Segoe UI"/>
          <w:sz w:val="21"/>
          <w:szCs w:val="21"/>
        </w:rPr>
        <w:t xml:space="preserve">​ 2016 </w:t>
      </w:r>
      <w:r>
        <w:rPr>
          <w:rFonts w:ascii="Segoe UI" w:hAnsi="Segoe UI" w:cs="Segoe UI"/>
          <w:sz w:val="21"/>
          <w:szCs w:val="21"/>
        </w:rPr>
        <w:t>年收购</w:t>
      </w:r>
      <w:r>
        <w:rPr>
          <w:rFonts w:ascii="Segoe UI" w:hAnsi="Segoe UI" w:cs="Segoe UI"/>
          <w:sz w:val="21"/>
          <w:szCs w:val="21"/>
        </w:rPr>
        <w:t xml:space="preserve"> </w:t>
      </w:r>
      <w:proofErr w:type="spellStart"/>
      <w:r>
        <w:rPr>
          <w:rFonts w:ascii="Segoe UI" w:hAnsi="Segoe UI" w:cs="Segoe UI"/>
          <w:sz w:val="21"/>
          <w:szCs w:val="21"/>
        </w:rPr>
        <w:t>Aquasana</w:t>
      </w:r>
      <w:proofErr w:type="spellEnd"/>
      <w:r>
        <w:rPr>
          <w:rFonts w:ascii="Segoe UI" w:hAnsi="Segoe UI" w:cs="Segoe UI"/>
          <w:sz w:val="21"/>
          <w:szCs w:val="21"/>
        </w:rPr>
        <w:t>（家用净水，约</w:t>
      </w:r>
      <w:r>
        <w:rPr>
          <w:rFonts w:ascii="Segoe UI" w:hAnsi="Segoe UI" w:cs="Segoe UI"/>
          <w:sz w:val="21"/>
          <w:szCs w:val="21"/>
        </w:rPr>
        <w:t xml:space="preserve"> 0.87 </w:t>
      </w:r>
      <w:r>
        <w:rPr>
          <w:rFonts w:ascii="Segoe UI" w:hAnsi="Segoe UI" w:cs="Segoe UI"/>
          <w:sz w:val="21"/>
          <w:szCs w:val="21"/>
        </w:rPr>
        <w:t>亿美元），</w:t>
      </w:r>
      <w:r>
        <w:rPr>
          <w:rFonts w:ascii="Segoe UI" w:hAnsi="Segoe UI" w:cs="Segoe UI"/>
          <w:sz w:val="21"/>
          <w:szCs w:val="21"/>
        </w:rPr>
        <w:t xml:space="preserve">2024 </w:t>
      </w:r>
      <w:r>
        <w:rPr>
          <w:rFonts w:ascii="Segoe UI" w:hAnsi="Segoe UI" w:cs="Segoe UI"/>
          <w:sz w:val="21"/>
          <w:szCs w:val="21"/>
        </w:rPr>
        <w:t>年收购联合利华旗下</w:t>
      </w:r>
      <w:r>
        <w:rPr>
          <w:rFonts w:ascii="Segoe UI" w:hAnsi="Segoe UI" w:cs="Segoe UI"/>
          <w:sz w:val="21"/>
          <w:szCs w:val="21"/>
        </w:rPr>
        <w:t xml:space="preserve"> </w:t>
      </w:r>
      <w:proofErr w:type="spellStart"/>
      <w:r>
        <w:rPr>
          <w:rFonts w:ascii="Segoe UI" w:hAnsi="Segoe UI" w:cs="Segoe UI"/>
          <w:sz w:val="21"/>
          <w:szCs w:val="21"/>
        </w:rPr>
        <w:t>Pureit</w:t>
      </w:r>
      <w:proofErr w:type="spellEnd"/>
      <w:r>
        <w:rPr>
          <w:rFonts w:ascii="Segoe UI" w:hAnsi="Segoe UI" w:cs="Segoe UI"/>
          <w:sz w:val="21"/>
          <w:szCs w:val="21"/>
        </w:rPr>
        <w:t>（净水，对价约</w:t>
      </w:r>
      <w:r>
        <w:rPr>
          <w:rFonts w:ascii="Segoe UI" w:hAnsi="Segoe UI" w:cs="Segoe UI"/>
          <w:sz w:val="21"/>
          <w:szCs w:val="21"/>
        </w:rPr>
        <w:t xml:space="preserve"> 1.2 </w:t>
      </w:r>
      <w:r>
        <w:rPr>
          <w:rFonts w:ascii="Segoe UI" w:hAnsi="Segoe UI" w:cs="Segoe UI"/>
          <w:sz w:val="21"/>
          <w:szCs w:val="21"/>
        </w:rPr>
        <w:t>亿美元）。逻辑是从</w:t>
      </w:r>
      <w:r>
        <w:rPr>
          <w:rFonts w:ascii="Segoe UI" w:hAnsi="Segoe UI" w:cs="Segoe UI"/>
          <w:sz w:val="21"/>
          <w:szCs w:val="21"/>
        </w:rPr>
        <w:t>"</w:t>
      </w:r>
      <w:r>
        <w:rPr>
          <w:rFonts w:ascii="Segoe UI" w:hAnsi="Segoe UI" w:cs="Segoe UI"/>
          <w:sz w:val="21"/>
          <w:szCs w:val="21"/>
        </w:rPr>
        <w:t>加热水</w:t>
      </w:r>
      <w:r>
        <w:rPr>
          <w:rFonts w:ascii="Segoe UI" w:hAnsi="Segoe UI" w:cs="Segoe UI"/>
          <w:sz w:val="21"/>
          <w:szCs w:val="21"/>
        </w:rPr>
        <w:t>"</w:t>
      </w:r>
      <w:r>
        <w:rPr>
          <w:rFonts w:ascii="Segoe UI" w:hAnsi="Segoe UI" w:cs="Segoe UI"/>
          <w:sz w:val="21"/>
          <w:szCs w:val="21"/>
        </w:rPr>
        <w:t>扩到</w:t>
      </w:r>
      <w:r>
        <w:rPr>
          <w:rFonts w:ascii="Segoe UI" w:hAnsi="Segoe UI" w:cs="Segoe UI"/>
          <w:sz w:val="21"/>
          <w:szCs w:val="21"/>
        </w:rPr>
        <w:t>"</w:t>
      </w:r>
      <w:r>
        <w:rPr>
          <w:rFonts w:ascii="Segoe UI" w:hAnsi="Segoe UI" w:cs="Segoe UI"/>
          <w:sz w:val="21"/>
          <w:szCs w:val="21"/>
        </w:rPr>
        <w:t>净化水</w:t>
      </w:r>
      <w:r>
        <w:rPr>
          <w:rFonts w:ascii="Segoe UI" w:hAnsi="Segoe UI" w:cs="Segoe UI"/>
          <w:sz w:val="21"/>
          <w:szCs w:val="21"/>
        </w:rPr>
        <w:t>"</w:t>
      </w:r>
      <w:r>
        <w:rPr>
          <w:rFonts w:ascii="Segoe UI" w:hAnsi="Segoe UI" w:cs="Segoe UI"/>
          <w:sz w:val="21"/>
          <w:szCs w:val="21"/>
        </w:rPr>
        <w:t>，共用住宅水场景与渠道。</w:t>
      </w:r>
    </w:p>
    <w:p w14:paraId="3FEC4409" w14:textId="4B32FBCE" w:rsidR="00724813" w:rsidRDefault="001478A1" w:rsidP="00724813">
      <w:pPr>
        <w:pStyle w:val="ae"/>
        <w:shd w:val="clear" w:color="auto" w:fill="FFFFFF"/>
        <w:spacing w:before="180" w:beforeAutospacing="0" w:after="180" w:afterAutospacing="0"/>
        <w:rPr>
          <w:rFonts w:ascii="Segoe UI" w:hAnsi="Segoe UI" w:cs="Segoe UI" w:hint="eastAsia"/>
          <w:sz w:val="21"/>
          <w:szCs w:val="21"/>
        </w:rPr>
      </w:pPr>
      <w:r>
        <w:rPr>
          <w:rStyle w:val="af"/>
          <w:rFonts w:ascii="Segoe UI" w:hAnsi="Segoe UI" w:cs="Segoe UI"/>
          <w:sz w:val="21"/>
          <w:szCs w:val="21"/>
        </w:rPr>
        <w:t>2025</w:t>
      </w:r>
      <w:r>
        <w:rPr>
          <w:rStyle w:val="af"/>
          <w:rFonts w:ascii="Segoe UI" w:hAnsi="Segoe UI" w:cs="Segoe UI"/>
          <w:sz w:val="21"/>
          <w:szCs w:val="21"/>
        </w:rPr>
        <w:t>，正在发生的第七次重定义。</w:t>
      </w:r>
      <w:r>
        <w:rPr>
          <w:rFonts w:ascii="Segoe UI" w:hAnsi="Segoe UI" w:cs="Segoe UI"/>
          <w:sz w:val="21"/>
          <w:szCs w:val="21"/>
        </w:rPr>
        <w:t xml:space="preserve">​ </w:t>
      </w:r>
      <w:r>
        <w:rPr>
          <w:rFonts w:ascii="Segoe UI" w:hAnsi="Segoe UI" w:cs="Segoe UI"/>
          <w:sz w:val="21"/>
          <w:szCs w:val="21"/>
        </w:rPr>
        <w:t>年内更换六名高管（</w:t>
      </w:r>
      <w:r>
        <w:rPr>
          <w:rFonts w:ascii="Segoe UI" w:hAnsi="Segoe UI" w:cs="Segoe UI"/>
          <w:sz w:val="21"/>
          <w:szCs w:val="21"/>
        </w:rPr>
        <w:t xml:space="preserve">CEO Wheeler </w:t>
      </w:r>
      <w:r>
        <w:rPr>
          <w:rFonts w:ascii="Segoe UI" w:hAnsi="Segoe UI" w:cs="Segoe UI"/>
          <w:sz w:val="21"/>
          <w:szCs w:val="21"/>
        </w:rPr>
        <w:t>转任执行董事长，</w:t>
      </w:r>
      <w:r>
        <w:rPr>
          <w:rFonts w:ascii="Segoe UI" w:hAnsi="Segoe UI" w:cs="Segoe UI"/>
          <w:sz w:val="21"/>
          <w:szCs w:val="21"/>
        </w:rPr>
        <w:t xml:space="preserve">Shafer </w:t>
      </w:r>
      <w:r>
        <w:rPr>
          <w:rFonts w:ascii="Segoe UI" w:hAnsi="Segoe UI" w:cs="Segoe UI"/>
          <w:sz w:val="21"/>
          <w:szCs w:val="21"/>
        </w:rPr>
        <w:t>接任，</w:t>
      </w:r>
      <w:r>
        <w:rPr>
          <w:rFonts w:ascii="Segoe UI" w:hAnsi="Segoe UI" w:cs="Segoe UI"/>
          <w:sz w:val="21"/>
          <w:szCs w:val="21"/>
        </w:rPr>
        <w:t xml:space="preserve">FY2025 10-K </w:t>
      </w:r>
      <w:r>
        <w:rPr>
          <w:rFonts w:ascii="Segoe UI" w:hAnsi="Segoe UI" w:cs="Segoe UI"/>
          <w:sz w:val="21"/>
          <w:szCs w:val="21"/>
        </w:rPr>
        <w:t>高管名单）；公司同步启动对中国业务的战略评估（</w:t>
      </w:r>
      <w:r>
        <w:rPr>
          <w:rFonts w:ascii="Segoe UI" w:hAnsi="Segoe UI" w:cs="Segoe UI"/>
          <w:sz w:val="21"/>
          <w:szCs w:val="21"/>
        </w:rPr>
        <w:t xml:space="preserve">2026Q2 </w:t>
      </w:r>
      <w:r>
        <w:rPr>
          <w:rFonts w:ascii="Segoe UI" w:hAnsi="Segoe UI" w:cs="Segoe UI"/>
          <w:sz w:val="21"/>
          <w:szCs w:val="21"/>
        </w:rPr>
        <w:t>业绩会）。</w:t>
      </w:r>
    </w:p>
    <w:p w14:paraId="6735DB2F" w14:textId="77777777" w:rsidR="00724813" w:rsidRPr="003C6F70" w:rsidRDefault="00724813">
      <w:pPr>
        <w:rPr>
          <w:rFonts w:ascii="Segoe UI" w:eastAsia="宋体" w:hAnsi="Segoe UI" w:cs="Segoe UI" w:hint="eastAsia"/>
          <w:kern w:val="0"/>
          <w:sz w:val="21"/>
          <w:szCs w:val="21"/>
          <w14:ligatures w14:val="none"/>
        </w:rPr>
      </w:pPr>
    </w:p>
    <w:p w14:paraId="0C594A06" w14:textId="50ED6AA8" w:rsidR="00724813" w:rsidRPr="00724813" w:rsidRDefault="001C2075" w:rsidP="00724813">
      <w:pPr>
        <w:pStyle w:val="2"/>
        <w:rPr>
          <w:rFonts w:hint="eastAsia"/>
        </w:rPr>
      </w:pPr>
      <w:r>
        <w:rPr>
          <w:rFonts w:hint="eastAsia"/>
        </w:rPr>
        <w:t>商业模式</w:t>
      </w:r>
    </w:p>
    <w:p w14:paraId="734B8F2B" w14:textId="54F8F1C5" w:rsidR="006E59DC" w:rsidRPr="006E59DC" w:rsidRDefault="006E59DC" w:rsidP="006E59DC">
      <w:pPr>
        <w:pStyle w:val="a9"/>
        <w:numPr>
          <w:ilvl w:val="0"/>
          <w:numId w:val="4"/>
        </w:numPr>
        <w:rPr>
          <w:b/>
          <w:bCs/>
          <w:shd w:val="clear" w:color="auto" w:fill="FFFFFF"/>
        </w:rPr>
      </w:pPr>
      <w:r w:rsidRPr="006E59DC">
        <w:rPr>
          <w:rFonts w:hint="eastAsia"/>
          <w:b/>
          <w:bCs/>
          <w:shd w:val="clear" w:color="auto" w:fill="FFFFFF"/>
        </w:rPr>
        <w:t>收入结构</w:t>
      </w:r>
    </w:p>
    <w:p w14:paraId="1C37BD85" w14:textId="24E79414" w:rsidR="002B72F9" w:rsidRPr="002B72F9" w:rsidRDefault="0022012B" w:rsidP="002B72F9">
      <w:pPr>
        <w:rPr>
          <w:shd w:val="clear" w:color="auto" w:fill="FFFFFF"/>
        </w:rPr>
      </w:pPr>
      <w:r w:rsidRPr="002B72F9">
        <w:rPr>
          <w:shd w:val="clear" w:color="auto" w:fill="FFFFFF"/>
        </w:rPr>
        <w:lastRenderedPageBreak/>
        <w:t>公司以两个报告分部披露经营结果：北美和世界其他地区</w:t>
      </w:r>
      <w:r>
        <w:rPr>
          <w:rFonts w:hint="eastAsia"/>
          <w:shd w:val="clear" w:color="auto" w:fill="FFFFFF"/>
        </w:rPr>
        <w:t>（</w:t>
      </w:r>
      <w:r w:rsidRPr="002B72F9">
        <w:rPr>
          <w:shd w:val="clear" w:color="auto" w:fill="FFFFFF"/>
        </w:rPr>
        <w:t>中国、印度和欧洲</w:t>
      </w:r>
      <w:r>
        <w:rPr>
          <w:rFonts w:hint="eastAsia"/>
          <w:shd w:val="clear" w:color="auto" w:fill="FFFFFF"/>
        </w:rPr>
        <w:t>）</w:t>
      </w:r>
      <w:r w:rsidRPr="002B72F9">
        <w:rPr>
          <w:shd w:val="clear" w:color="auto" w:fill="FFFFFF"/>
        </w:rPr>
        <w:t>。</w:t>
      </w:r>
      <w:r w:rsidR="002B72F9" w:rsidRPr="002B72F9">
        <w:rPr>
          <w:shd w:val="clear" w:color="auto" w:fill="FFFFFF"/>
        </w:rPr>
        <w:t>产品组合可以归纳为三类核心硬件，并辅以配件和滤芯等耗材：</w:t>
      </w:r>
    </w:p>
    <w:p w14:paraId="216E53F0" w14:textId="1619D3CD" w:rsidR="002B72F9" w:rsidRPr="002B72F9" w:rsidRDefault="002B72F9" w:rsidP="002B72F9">
      <w:pPr>
        <w:pStyle w:val="a9"/>
        <w:numPr>
          <w:ilvl w:val="0"/>
          <w:numId w:val="9"/>
        </w:numPr>
        <w:rPr>
          <w:shd w:val="clear" w:color="auto" w:fill="FFFFFF"/>
        </w:rPr>
      </w:pPr>
      <w:r w:rsidRPr="002B72F9">
        <w:rPr>
          <w:shd w:val="clear" w:color="auto" w:fill="FFFFFF"/>
        </w:rPr>
        <w:t>热水器及配件：包括住宅和商用燃气、热泵、电热水器。年报披露，北美热水器销售中相当一部分来自既有产品的替换需求，而不是单纯依赖新房开工。</w:t>
      </w:r>
    </w:p>
    <w:p w14:paraId="2096CFA4" w14:textId="25D06D3A" w:rsidR="002B72F9" w:rsidRPr="002B72F9" w:rsidRDefault="002B72F9" w:rsidP="002B72F9">
      <w:pPr>
        <w:pStyle w:val="a9"/>
        <w:numPr>
          <w:ilvl w:val="0"/>
          <w:numId w:val="9"/>
        </w:numPr>
        <w:rPr>
          <w:shd w:val="clear" w:color="auto" w:fill="FFFFFF"/>
        </w:rPr>
      </w:pPr>
      <w:r w:rsidRPr="002B72F9">
        <w:rPr>
          <w:shd w:val="clear" w:color="auto" w:fill="FFFFFF"/>
        </w:rPr>
        <w:t>锅炉及配件：闭式循环水加热系统，主要用于医院、学校、酒店和大型商业建筑的空间供暖或水暖供暖，也覆盖住宅、公寓和公寓楼。锅炉销售由旧设备更换与新建共同驱动。</w:t>
      </w:r>
    </w:p>
    <w:p w14:paraId="54A89BEC" w14:textId="1F1E058D" w:rsidR="002B72F9" w:rsidRDefault="002B72F9" w:rsidP="002B72F9">
      <w:pPr>
        <w:pStyle w:val="a9"/>
        <w:numPr>
          <w:ilvl w:val="0"/>
          <w:numId w:val="10"/>
        </w:numPr>
        <w:rPr>
          <w:shd w:val="clear" w:color="auto" w:fill="FFFFFF"/>
        </w:rPr>
      </w:pPr>
      <w:r w:rsidRPr="002B72F9">
        <w:rPr>
          <w:shd w:val="clear" w:color="auto" w:fill="FFFFFF"/>
        </w:rPr>
        <w:t>水处理产品：包括使用点和入户水处理系统，以及替换滤芯等耗材。公司通过渠道再平衡和经销商拓展来优化水处理业务的盈利结构。</w:t>
      </w:r>
    </w:p>
    <w:p w14:paraId="4F131071" w14:textId="3A42F224" w:rsidR="00922480" w:rsidRPr="00922480" w:rsidRDefault="00DD6E7A" w:rsidP="00922480">
      <w:pPr>
        <w:rPr>
          <w:rFonts w:hint="eastAsia"/>
          <w:shd w:val="clear" w:color="auto" w:fill="FFFFFF"/>
        </w:rPr>
      </w:pPr>
      <w:r w:rsidRPr="00DD6E7A">
        <w:rPr>
          <w:shd w:val="clear" w:color="auto" w:fill="FFFFFF"/>
        </w:rPr>
        <w:drawing>
          <wp:inline distT="0" distB="0" distL="0" distR="0" wp14:anchorId="355010DE" wp14:editId="491E8598">
            <wp:extent cx="6645910" cy="1146810"/>
            <wp:effectExtent l="0" t="0" r="0" b="0"/>
            <wp:docPr id="6778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635" name=""/>
                    <pic:cNvPicPr/>
                  </pic:nvPicPr>
                  <pic:blipFill>
                    <a:blip r:embed="rId6"/>
                    <a:stretch>
                      <a:fillRect/>
                    </a:stretch>
                  </pic:blipFill>
                  <pic:spPr>
                    <a:xfrm>
                      <a:off x="0" y="0"/>
                      <a:ext cx="6645910" cy="1146810"/>
                    </a:xfrm>
                    <a:prstGeom prst="rect">
                      <a:avLst/>
                    </a:prstGeom>
                  </pic:spPr>
                </pic:pic>
              </a:graphicData>
            </a:graphic>
          </wp:inline>
        </w:drawing>
      </w:r>
    </w:p>
    <w:p w14:paraId="3AFDAE72" w14:textId="77CBF1FB" w:rsidR="002B72F9" w:rsidRPr="002B72F9" w:rsidRDefault="00563565" w:rsidP="002B72F9">
      <w:pPr>
        <w:rPr>
          <w:shd w:val="clear" w:color="auto" w:fill="FFFFFF"/>
        </w:rPr>
      </w:pPr>
      <w:r w:rsidRPr="00563565">
        <w:rPr>
          <w:shd w:val="clear" w:color="auto" w:fill="FFFFFF"/>
        </w:rPr>
        <w:drawing>
          <wp:inline distT="0" distB="0" distL="0" distR="0" wp14:anchorId="3C4E5FBF" wp14:editId="576A3364">
            <wp:extent cx="5909733" cy="2350115"/>
            <wp:effectExtent l="0" t="0" r="0" b="0"/>
            <wp:docPr id="589933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33031" name=""/>
                    <pic:cNvPicPr/>
                  </pic:nvPicPr>
                  <pic:blipFill>
                    <a:blip r:embed="rId7"/>
                    <a:stretch>
                      <a:fillRect/>
                    </a:stretch>
                  </pic:blipFill>
                  <pic:spPr>
                    <a:xfrm>
                      <a:off x="0" y="0"/>
                      <a:ext cx="5954179" cy="2367790"/>
                    </a:xfrm>
                    <a:prstGeom prst="rect">
                      <a:avLst/>
                    </a:prstGeom>
                  </pic:spPr>
                </pic:pic>
              </a:graphicData>
            </a:graphic>
          </wp:inline>
        </w:drawing>
      </w:r>
    </w:p>
    <w:p w14:paraId="01FB79E2" w14:textId="77777777" w:rsidR="002B72F9" w:rsidRPr="00724813" w:rsidRDefault="002B72F9" w:rsidP="00724813">
      <w:pPr>
        <w:rPr>
          <w:rFonts w:hint="eastAsia"/>
          <w:shd w:val="clear" w:color="auto" w:fill="FFFFFF"/>
        </w:rPr>
      </w:pPr>
    </w:p>
    <w:p w14:paraId="6659E7CC" w14:textId="32B136F2" w:rsidR="00724813" w:rsidRPr="006E59DC" w:rsidRDefault="006E59DC" w:rsidP="006E59DC">
      <w:pPr>
        <w:pStyle w:val="a9"/>
        <w:numPr>
          <w:ilvl w:val="0"/>
          <w:numId w:val="5"/>
        </w:numPr>
        <w:rPr>
          <w:b/>
          <w:bCs/>
          <w:shd w:val="clear" w:color="auto" w:fill="FFFFFF"/>
        </w:rPr>
      </w:pPr>
      <w:r w:rsidRPr="006E59DC">
        <w:rPr>
          <w:rFonts w:hint="eastAsia"/>
          <w:b/>
          <w:bCs/>
          <w:shd w:val="clear" w:color="auto" w:fill="FFFFFF"/>
        </w:rPr>
        <w:t>渠道结构</w:t>
      </w:r>
    </w:p>
    <w:p w14:paraId="23761985" w14:textId="10F89693" w:rsidR="006E59DC" w:rsidRPr="006E59DC" w:rsidRDefault="006E59DC" w:rsidP="006E59DC">
      <w:pPr>
        <w:rPr>
          <w:b/>
          <w:bCs/>
          <w:shd w:val="clear" w:color="auto" w:fill="FFFFFF"/>
        </w:rPr>
      </w:pPr>
      <w:r w:rsidRPr="006E59DC">
        <w:rPr>
          <w:rFonts w:hint="eastAsia"/>
          <w:b/>
          <w:bCs/>
          <w:shd w:val="clear" w:color="auto" w:fill="FFFFFF"/>
        </w:rPr>
        <w:t>北美：</w:t>
      </w:r>
    </w:p>
    <w:p w14:paraId="03619E47" w14:textId="2E9BA0D7" w:rsidR="00724813" w:rsidRPr="001D2403" w:rsidRDefault="00724813" w:rsidP="001D2403">
      <w:pPr>
        <w:pStyle w:val="a9"/>
        <w:numPr>
          <w:ilvl w:val="0"/>
          <w:numId w:val="7"/>
        </w:numPr>
        <w:rPr>
          <w:shd w:val="clear" w:color="auto" w:fill="FFFFFF"/>
        </w:rPr>
      </w:pPr>
      <w:r w:rsidRPr="001D2403">
        <w:rPr>
          <w:shd w:val="clear" w:color="auto" w:fill="FFFFFF"/>
        </w:rPr>
        <w:t>批发（约 800 家独立批发管道经销商）——A.O. Smith 与 State品牌的主渠道，服务住宅+商用，面向专业安装工，量大、复购但单价不算最高；</w:t>
      </w:r>
    </w:p>
    <w:p w14:paraId="5301BD45" w14:textId="77777777" w:rsidR="00724813" w:rsidRPr="001D2403" w:rsidRDefault="00724813" w:rsidP="001D2403">
      <w:pPr>
        <w:pStyle w:val="a9"/>
        <w:numPr>
          <w:ilvl w:val="0"/>
          <w:numId w:val="7"/>
        </w:numPr>
        <w:rPr>
          <w:shd w:val="clear" w:color="auto" w:fill="FFFFFF"/>
        </w:rPr>
      </w:pPr>
      <w:r w:rsidRPr="001D2403">
        <w:rPr>
          <w:shd w:val="clear" w:color="auto" w:fill="FFFFFF"/>
        </w:rPr>
        <w:t>零售（含与 Lowe's 的长期独家合作，覆盖美国六大家居连锁中的四家）——面向 DIY/紧急更换消费者，品牌曝光强，但渠道议价力也强；</w:t>
      </w:r>
    </w:p>
    <w:p w14:paraId="5A69190C" w14:textId="33FCB211" w:rsidR="00724813" w:rsidRPr="001D2403" w:rsidRDefault="00724813" w:rsidP="001D2403">
      <w:pPr>
        <w:pStyle w:val="a9"/>
        <w:numPr>
          <w:ilvl w:val="0"/>
          <w:numId w:val="7"/>
        </w:numPr>
        <w:rPr>
          <w:shd w:val="clear" w:color="auto" w:fill="FFFFFF"/>
        </w:rPr>
      </w:pPr>
      <w:r w:rsidRPr="001D2403">
        <w:rPr>
          <w:shd w:val="clear" w:color="auto" w:fill="FFFFFF"/>
        </w:rPr>
        <w:t>Lochinvar商用锅炉渠道——约 45% 是热水器/锅炉本体，55% 是锅炉配件，主要靠制造商代表而非批发商，是完全不同的销售动作（工程/规格驱动，不是货架铺货）；</w:t>
      </w:r>
    </w:p>
    <w:p w14:paraId="26DCD9E3" w14:textId="518A454B" w:rsidR="00724813" w:rsidRPr="00947045" w:rsidRDefault="00724813" w:rsidP="00724813">
      <w:pPr>
        <w:pStyle w:val="a9"/>
        <w:numPr>
          <w:ilvl w:val="0"/>
          <w:numId w:val="6"/>
        </w:numPr>
        <w:rPr>
          <w:shd w:val="clear" w:color="auto" w:fill="FFFFFF"/>
        </w:rPr>
      </w:pPr>
      <w:r w:rsidRPr="001D2403">
        <w:rPr>
          <w:shd w:val="clear" w:color="auto" w:fill="FFFFFF"/>
        </w:rPr>
        <w:t>水处理再细分为三套渠道：A.O. Smith 品牌走水质经销商网络+Amazon，</w:t>
      </w:r>
      <w:proofErr w:type="spellStart"/>
      <w:r w:rsidRPr="001D2403">
        <w:rPr>
          <w:shd w:val="clear" w:color="auto" w:fill="FFFFFF"/>
        </w:rPr>
        <w:t>Aquasana</w:t>
      </w:r>
      <w:proofErr w:type="spellEnd"/>
      <w:r w:rsidRPr="001D2403">
        <w:rPr>
          <w:shd w:val="clear" w:color="auto" w:fill="FFFFFF"/>
        </w:rPr>
        <w:t xml:space="preserve"> 走 DTC</w:t>
      </w:r>
      <w:r w:rsidRPr="00947045">
        <w:rPr>
          <w:shd w:val="clear" w:color="auto" w:fill="FFFFFF"/>
        </w:rPr>
        <w:t>电商，Hague/Water-Right/Master</w:t>
      </w:r>
      <w:r w:rsidR="00581B07" w:rsidRPr="00947045">
        <w:rPr>
          <w:rFonts w:hint="eastAsia"/>
          <w:shd w:val="clear" w:color="auto" w:fill="FFFFFF"/>
        </w:rPr>
        <w:t xml:space="preserve"> </w:t>
      </w:r>
      <w:r w:rsidRPr="00947045">
        <w:rPr>
          <w:shd w:val="clear" w:color="auto" w:fill="FFFFFF"/>
        </w:rPr>
        <w:t>Water/Atlantic/Impact/Water Tec 等软水品牌走经销商+承包商+家居连锁——这也是为什么水处理收入波动大，本质是七八个渠道各自独立的小生意，不是一条产品线。</w:t>
      </w:r>
    </w:p>
    <w:p w14:paraId="717B1200" w14:textId="77777777" w:rsidR="00947045" w:rsidRDefault="00724813" w:rsidP="00724813">
      <w:pPr>
        <w:rPr>
          <w:shd w:val="clear" w:color="auto" w:fill="FFFFFF"/>
        </w:rPr>
      </w:pPr>
      <w:r w:rsidRPr="00947045">
        <w:rPr>
          <w:b/>
          <w:bCs/>
          <w:shd w:val="clear" w:color="auto" w:fill="FFFFFF"/>
        </w:rPr>
        <w:t>中国</w:t>
      </w:r>
      <w:r w:rsidR="00947045" w:rsidRPr="00947045">
        <w:rPr>
          <w:rFonts w:hint="eastAsia"/>
          <w:b/>
          <w:bCs/>
          <w:shd w:val="clear" w:color="auto" w:fill="FFFFFF"/>
        </w:rPr>
        <w:t>：</w:t>
      </w:r>
    </w:p>
    <w:p w14:paraId="61FCFF10" w14:textId="196E78F9" w:rsidR="00724813" w:rsidRDefault="00724813" w:rsidP="00947045">
      <w:pPr>
        <w:ind w:firstLine="420"/>
        <w:rPr>
          <w:shd w:val="clear" w:color="auto" w:fill="FFFFFF"/>
        </w:rPr>
      </w:pPr>
      <w:r w:rsidRPr="00724813">
        <w:rPr>
          <w:shd w:val="clear" w:color="auto" w:fill="FFFFFF"/>
        </w:rPr>
        <w:t>约 8,700 个销售网点（约 3,800 个为一二三线城市零售网点，约 1,400个专卖店），叠加电商，走的是品牌零售逻辑而非北美的批发管道逻辑。</w:t>
      </w:r>
    </w:p>
    <w:p w14:paraId="621EC5D1" w14:textId="77777777" w:rsidR="007D49CC" w:rsidRPr="00724813" w:rsidRDefault="007D49CC" w:rsidP="00947045">
      <w:pPr>
        <w:ind w:firstLine="420"/>
        <w:rPr>
          <w:rFonts w:hint="eastAsia"/>
          <w:shd w:val="clear" w:color="auto" w:fill="FFFFFF"/>
        </w:rPr>
      </w:pPr>
    </w:p>
    <w:p w14:paraId="3DA84788" w14:textId="77777777" w:rsidR="007D49CC" w:rsidRPr="007D49CC" w:rsidRDefault="00724813" w:rsidP="007D49CC">
      <w:pPr>
        <w:pStyle w:val="a9"/>
        <w:numPr>
          <w:ilvl w:val="0"/>
          <w:numId w:val="8"/>
        </w:numPr>
        <w:rPr>
          <w:b/>
          <w:bCs/>
          <w:shd w:val="clear" w:color="auto" w:fill="FFFFFF"/>
        </w:rPr>
      </w:pPr>
      <w:r w:rsidRPr="007D49CC">
        <w:rPr>
          <w:b/>
          <w:bCs/>
          <w:shd w:val="clear" w:color="auto" w:fill="FFFFFF"/>
        </w:rPr>
        <w:t>需求端</w:t>
      </w:r>
    </w:p>
    <w:p w14:paraId="310FC2D5" w14:textId="3DAD6535" w:rsidR="00724813" w:rsidRPr="00724813" w:rsidRDefault="00724813" w:rsidP="00724813">
      <w:pPr>
        <w:rPr>
          <w:shd w:val="clear" w:color="auto" w:fill="FFFFFF"/>
        </w:rPr>
      </w:pPr>
      <w:r w:rsidRPr="00724813">
        <w:rPr>
          <w:shd w:val="clear" w:color="auto" w:fill="FFFFFF"/>
        </w:rPr>
        <w:t>短周期、无积压、被动更换驱动。公司明确披露"由于业务的短周期性质，我们通常不会维持大量积压订单"（backlog基本为零），北美销售的"很大一部分"来自既有产品更换，不依赖新开工。这意味着收入的领先指标不是订单簿，而是存量装机基数的自然故障率——这是一个类似"耐用品保有量×故障率"的模型，而非制造业常见的订单驱动模型，也是水加热器需求比新屋开工更平稳的根本原因。</w:t>
      </w:r>
    </w:p>
    <w:p w14:paraId="04CDD857" w14:textId="77777777" w:rsidR="00D84FB3" w:rsidRPr="00D84FB3" w:rsidRDefault="00D84FB3" w:rsidP="00D84FB3">
      <w:pPr>
        <w:pStyle w:val="a9"/>
        <w:numPr>
          <w:ilvl w:val="0"/>
          <w:numId w:val="8"/>
        </w:numPr>
        <w:rPr>
          <w:b/>
          <w:bCs/>
          <w:shd w:val="clear" w:color="auto" w:fill="FFFFFF"/>
        </w:rPr>
      </w:pPr>
      <w:r w:rsidRPr="00D84FB3">
        <w:rPr>
          <w:rFonts w:hint="eastAsia"/>
          <w:b/>
          <w:bCs/>
          <w:shd w:val="clear" w:color="auto" w:fill="FFFFFF"/>
        </w:rPr>
        <w:t>成本端</w:t>
      </w:r>
    </w:p>
    <w:p w14:paraId="4FE75267" w14:textId="737DE17C" w:rsidR="00724813" w:rsidRPr="00724813" w:rsidRDefault="00724813" w:rsidP="00724813">
      <w:pPr>
        <w:rPr>
          <w:shd w:val="clear" w:color="auto" w:fill="FFFFFF"/>
        </w:rPr>
      </w:pPr>
      <w:r w:rsidRPr="00724813">
        <w:rPr>
          <w:shd w:val="clear" w:color="auto" w:fill="FFFFFF"/>
        </w:rPr>
        <w:t>主要原材料是钢材，部分客户按合同条款接受钢价联动调价，但公司自己披露"历史上我们从客户端收回上涨材料成本存在滞后"。换句话说，钢价上行周期会先压毛利率，公司靠提价追赶，但提价生效前有一个时滞窗口——这正是2020--2022 年毛利率下行、2023--2025年修复的机制解释，不是简单的"通胀影响"。关税进一步放大了这个传导时滞的不确定性。</w:t>
      </w:r>
    </w:p>
    <w:p w14:paraId="68EBDB59" w14:textId="42B391AF" w:rsidR="00036650" w:rsidRPr="004A2453" w:rsidRDefault="00724813" w:rsidP="004A2453">
      <w:pPr>
        <w:pStyle w:val="a9"/>
        <w:numPr>
          <w:ilvl w:val="0"/>
          <w:numId w:val="8"/>
        </w:numPr>
        <w:rPr>
          <w:b/>
          <w:bCs/>
          <w:shd w:val="clear" w:color="auto" w:fill="FFFFFF"/>
        </w:rPr>
      </w:pPr>
      <w:r w:rsidRPr="00036650">
        <w:rPr>
          <w:b/>
          <w:bCs/>
          <w:shd w:val="clear" w:color="auto" w:fill="FFFFFF"/>
        </w:rPr>
        <w:t>客户集中度</w:t>
      </w:r>
    </w:p>
    <w:p w14:paraId="312DE493" w14:textId="7724F2CB" w:rsidR="00724813" w:rsidRPr="00724813" w:rsidRDefault="00724813" w:rsidP="00724813">
      <w:pPr>
        <w:rPr>
          <w:shd w:val="clear" w:color="auto" w:fill="FFFFFF"/>
        </w:rPr>
      </w:pPr>
      <w:r w:rsidRPr="00724813">
        <w:rPr>
          <w:shd w:val="clear" w:color="auto" w:fill="FFFFFF"/>
        </w:rPr>
        <w:t>一个隐藏但重要的风险点。前五大客户合计占 2025 年销售额约41%，公司明确说明这一集中度预计将持续存在。结合北美零售渠道对 Lowe's的独家依赖，说明公司对少数大型渠道客户存在议价力上的结构性暴露。</w:t>
      </w:r>
    </w:p>
    <w:p w14:paraId="4D19AEA3" w14:textId="77777777" w:rsidR="00D671C7" w:rsidRPr="00D671C7" w:rsidRDefault="00724813" w:rsidP="00D671C7">
      <w:pPr>
        <w:pStyle w:val="a9"/>
        <w:numPr>
          <w:ilvl w:val="0"/>
          <w:numId w:val="8"/>
        </w:numPr>
        <w:rPr>
          <w:b/>
          <w:bCs/>
          <w:shd w:val="clear" w:color="auto" w:fill="FFFFFF"/>
        </w:rPr>
      </w:pPr>
      <w:r w:rsidRPr="00D671C7">
        <w:rPr>
          <w:b/>
          <w:bCs/>
          <w:shd w:val="clear" w:color="auto" w:fill="FFFFFF"/>
        </w:rPr>
        <w:t>竞争格局</w:t>
      </w:r>
    </w:p>
    <w:p w14:paraId="39006A1A" w14:textId="77777777" w:rsidR="00D671C7" w:rsidRDefault="00724813" w:rsidP="00724813">
      <w:pPr>
        <w:rPr>
          <w:shd w:val="clear" w:color="auto" w:fill="FFFFFF"/>
        </w:rPr>
      </w:pPr>
      <w:r w:rsidRPr="00724813">
        <w:rPr>
          <w:shd w:val="clear" w:color="auto" w:fill="FFFFFF"/>
        </w:rPr>
        <w:t>按区域和品类彻底不同，护城河来源也不同。</w:t>
      </w:r>
    </w:p>
    <w:p w14:paraId="18AE2B19" w14:textId="77777777" w:rsidR="00D671C7" w:rsidRDefault="00724813" w:rsidP="001F3C1E">
      <w:pPr>
        <w:ind w:firstLine="420"/>
        <w:rPr>
          <w:shd w:val="clear" w:color="auto" w:fill="FFFFFF"/>
        </w:rPr>
      </w:pPr>
      <w:r w:rsidRPr="00724813">
        <w:rPr>
          <w:shd w:val="clear" w:color="auto" w:fill="FFFFFF"/>
        </w:rPr>
        <w:t>北美热水器/锅炉对手是Rheem、Bradford White、Rinnai、</w:t>
      </w:r>
      <w:proofErr w:type="spellStart"/>
      <w:r w:rsidRPr="00724813">
        <w:rPr>
          <w:shd w:val="clear" w:color="auto" w:fill="FFFFFF"/>
        </w:rPr>
        <w:t>Aerco</w:t>
      </w:r>
      <w:proofErr w:type="spellEnd"/>
      <w:r w:rsidRPr="00724813">
        <w:rPr>
          <w:shd w:val="clear" w:color="auto" w:fill="FFFFFF"/>
        </w:rPr>
        <w:t>、</w:t>
      </w:r>
      <w:proofErr w:type="spellStart"/>
      <w:r w:rsidRPr="00724813">
        <w:rPr>
          <w:shd w:val="clear" w:color="auto" w:fill="FFFFFF"/>
        </w:rPr>
        <w:t>Navien</w:t>
      </w:r>
      <w:proofErr w:type="spellEnd"/>
      <w:r w:rsidRPr="00724813">
        <w:rPr>
          <w:shd w:val="clear" w:color="auto" w:fill="FFFFFF"/>
        </w:rPr>
        <w:t>，水处理对手是Culligan、</w:t>
      </w:r>
      <w:proofErr w:type="spellStart"/>
      <w:r w:rsidRPr="00724813">
        <w:rPr>
          <w:shd w:val="clear" w:color="auto" w:fill="FFFFFF"/>
        </w:rPr>
        <w:t>Kinetico</w:t>
      </w:r>
      <w:proofErr w:type="spellEnd"/>
      <w:r w:rsidRPr="00724813">
        <w:rPr>
          <w:shd w:val="clear" w:color="auto" w:fill="FFFFFF"/>
        </w:rPr>
        <w:t>、Pentair、Franklin Electric、</w:t>
      </w:r>
      <w:proofErr w:type="spellStart"/>
      <w:r w:rsidRPr="00724813">
        <w:rPr>
          <w:shd w:val="clear" w:color="auto" w:fill="FFFFFF"/>
        </w:rPr>
        <w:t>Ecowater</w:t>
      </w:r>
      <w:proofErr w:type="spellEnd"/>
      <w:r w:rsidRPr="00724813">
        <w:rPr>
          <w:shd w:val="clear" w:color="auto" w:fill="FFFFFF"/>
        </w:rPr>
        <w:t>；</w:t>
      </w:r>
    </w:p>
    <w:p w14:paraId="6B897800" w14:textId="77777777" w:rsidR="00D671C7" w:rsidRDefault="00724813" w:rsidP="001F3C1E">
      <w:pPr>
        <w:ind w:firstLine="420"/>
        <w:rPr>
          <w:shd w:val="clear" w:color="auto" w:fill="FFFFFF"/>
        </w:rPr>
      </w:pPr>
      <w:r w:rsidRPr="00724813">
        <w:rPr>
          <w:shd w:val="clear" w:color="auto" w:fill="FFFFFF"/>
        </w:rPr>
        <w:t>中国热水器对手是Haier/</w:t>
      </w:r>
      <w:proofErr w:type="spellStart"/>
      <w:r w:rsidRPr="00724813">
        <w:rPr>
          <w:shd w:val="clear" w:color="auto" w:fill="FFFFFF"/>
        </w:rPr>
        <w:t>Casarte</w:t>
      </w:r>
      <w:proofErr w:type="spellEnd"/>
      <w:r w:rsidRPr="00724813">
        <w:rPr>
          <w:shd w:val="clear" w:color="auto" w:fill="FFFFFF"/>
        </w:rPr>
        <w:t>、Midea/COLMO、Rinnai，水处理对手是Angel、Haier/</w:t>
      </w:r>
      <w:proofErr w:type="spellStart"/>
      <w:r w:rsidRPr="00724813">
        <w:rPr>
          <w:shd w:val="clear" w:color="auto" w:fill="FFFFFF"/>
        </w:rPr>
        <w:t>Casarte</w:t>
      </w:r>
      <w:proofErr w:type="spellEnd"/>
      <w:r w:rsidRPr="00724813">
        <w:rPr>
          <w:shd w:val="clear" w:color="auto" w:fill="FFFFFF"/>
        </w:rPr>
        <w:t>、Midea/COLMO、</w:t>
      </w:r>
      <w:proofErr w:type="spellStart"/>
      <w:r w:rsidRPr="00724813">
        <w:rPr>
          <w:shd w:val="clear" w:color="auto" w:fill="FFFFFF"/>
        </w:rPr>
        <w:t>Truliva</w:t>
      </w:r>
      <w:proofErr w:type="spellEnd"/>
      <w:r w:rsidRPr="00724813">
        <w:rPr>
          <w:shd w:val="clear" w:color="auto" w:fill="FFFFFF"/>
        </w:rPr>
        <w:t>；</w:t>
      </w:r>
    </w:p>
    <w:p w14:paraId="0BC404D9" w14:textId="77777777" w:rsidR="00D671C7" w:rsidRDefault="00724813" w:rsidP="001F3C1E">
      <w:pPr>
        <w:ind w:firstLine="420"/>
        <w:rPr>
          <w:shd w:val="clear" w:color="auto" w:fill="FFFFFF"/>
        </w:rPr>
      </w:pPr>
      <w:r w:rsidRPr="00724813">
        <w:rPr>
          <w:shd w:val="clear" w:color="auto" w:fill="FFFFFF"/>
        </w:rPr>
        <w:t xml:space="preserve">印度对手又是 </w:t>
      </w:r>
      <w:proofErr w:type="spellStart"/>
      <w:r w:rsidRPr="00724813">
        <w:rPr>
          <w:shd w:val="clear" w:color="auto" w:fill="FFFFFF"/>
        </w:rPr>
        <w:t>Racold</w:t>
      </w:r>
      <w:proofErr w:type="spellEnd"/>
      <w:r w:rsidRPr="00724813">
        <w:rPr>
          <w:shd w:val="clear" w:color="auto" w:fill="FFFFFF"/>
        </w:rPr>
        <w:t>、Bajaj、Havells（热水器）和Eureka Forbes、Kent（水处理）。</w:t>
      </w:r>
    </w:p>
    <w:p w14:paraId="2CE660C3" w14:textId="7A322545" w:rsidR="00724813" w:rsidRPr="00724813" w:rsidRDefault="00724813" w:rsidP="00724813">
      <w:pPr>
        <w:rPr>
          <w:shd w:val="clear" w:color="auto" w:fill="FFFFFF"/>
        </w:rPr>
      </w:pPr>
      <w:r w:rsidRPr="00724813">
        <w:rPr>
          <w:shd w:val="clear" w:color="auto" w:fill="FFFFFF"/>
        </w:rPr>
        <w:t>公司自己的护城河说法是"全品类覆盖+高效产品线+批发经销网络密度"，但这是一个需要按区域分别验证的命题，不能笼统说"AOS在水加热器行业有护城河"——中国市场公司自己都承认份额和定价权弱于本地品牌</w:t>
      </w:r>
    </w:p>
    <w:p w14:paraId="636A0CB9" w14:textId="77777777" w:rsidR="002229DC" w:rsidRDefault="002229DC">
      <w:pPr>
        <w:rPr>
          <w:rFonts w:hint="eastAsia"/>
        </w:rPr>
      </w:pPr>
    </w:p>
    <w:p w14:paraId="25E0FF6D" w14:textId="1C36004C" w:rsidR="006139F3" w:rsidRDefault="00E454C1" w:rsidP="00CD0F89">
      <w:pPr>
        <w:pStyle w:val="2"/>
        <w:tabs>
          <w:tab w:val="left" w:pos="2240"/>
        </w:tabs>
      </w:pPr>
      <w:r>
        <w:rPr>
          <w:rFonts w:hint="eastAsia"/>
        </w:rPr>
        <w:lastRenderedPageBreak/>
        <w:t>行业需求</w:t>
      </w:r>
      <w:r w:rsidR="0086003E">
        <w:rPr>
          <w:rFonts w:hint="eastAsia"/>
        </w:rPr>
        <w:t>与供给</w:t>
      </w:r>
      <w:r w:rsidR="00CB0137">
        <w:rPr>
          <w:rFonts w:hint="eastAsia"/>
        </w:rPr>
        <w:t>（北美）</w:t>
      </w:r>
    </w:p>
    <w:p w14:paraId="3E645DA3" w14:textId="1577AD8B" w:rsidR="00031D82" w:rsidRDefault="00087157" w:rsidP="00087157">
      <w:pPr>
        <w:pStyle w:val="3"/>
      </w:pPr>
      <w:r>
        <w:rPr>
          <w:rFonts w:hint="eastAsia"/>
        </w:rPr>
        <w:t>热水器</w:t>
      </w:r>
    </w:p>
    <w:p w14:paraId="4E6532BC" w14:textId="4380C723" w:rsidR="00087157" w:rsidRPr="00087157" w:rsidRDefault="007B24AA" w:rsidP="00031D82">
      <w:pPr>
        <w:pStyle w:val="4"/>
      </w:pPr>
      <w:r>
        <w:rPr>
          <w:rFonts w:hint="eastAsia"/>
        </w:rPr>
        <w:t>分类</w:t>
      </w:r>
    </w:p>
    <w:p w14:paraId="5D9E4C09" w14:textId="42FBAD29" w:rsidR="00CD0F89" w:rsidRDefault="00CD0F89" w:rsidP="00CD0F89">
      <w:r w:rsidRPr="00CD0F89">
        <w:rPr>
          <w:noProof/>
        </w:rPr>
        <w:drawing>
          <wp:inline distT="0" distB="0" distL="0" distR="0" wp14:anchorId="4C2EE6CB" wp14:editId="013D261F">
            <wp:extent cx="6645910" cy="3837940"/>
            <wp:effectExtent l="0" t="0" r="0" b="0"/>
            <wp:docPr id="1275742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42160" name=""/>
                    <pic:cNvPicPr/>
                  </pic:nvPicPr>
                  <pic:blipFill>
                    <a:blip r:embed="rId8"/>
                    <a:stretch>
                      <a:fillRect/>
                    </a:stretch>
                  </pic:blipFill>
                  <pic:spPr>
                    <a:xfrm>
                      <a:off x="0" y="0"/>
                      <a:ext cx="6645910" cy="3837940"/>
                    </a:xfrm>
                    <a:prstGeom prst="rect">
                      <a:avLst/>
                    </a:prstGeom>
                  </pic:spPr>
                </pic:pic>
              </a:graphicData>
            </a:graphic>
          </wp:inline>
        </w:drawing>
      </w:r>
    </w:p>
    <w:p w14:paraId="7AF5F992" w14:textId="2D33C83D" w:rsidR="00CD0F89" w:rsidRDefault="00874220" w:rsidP="00CD0F89">
      <w:r w:rsidRPr="00874220">
        <w:t>热水器的分类有三个互相独立的维度：产品形态（储水式 vs 即热式）、热源（燃气／电／热泵／太阳能／燃油）、终端市场（住宅 vs 商用）。</w:t>
      </w:r>
    </w:p>
    <w:p w14:paraId="04C2ACA2" w14:textId="77777777" w:rsidR="00DE68D5" w:rsidRDefault="00DE68D5" w:rsidP="00DE68D5">
      <w:pPr>
        <w:pStyle w:val="ae"/>
        <w:shd w:val="clear" w:color="auto" w:fill="FFFFFF"/>
        <w:spacing w:before="180" w:beforeAutospacing="0" w:after="180" w:afterAutospacing="0"/>
        <w:rPr>
          <w:rStyle w:val="af"/>
          <w:rFonts w:ascii="Segoe UI" w:hAnsi="Segoe UI" w:cs="Segoe UI"/>
          <w:sz w:val="21"/>
          <w:szCs w:val="21"/>
        </w:rPr>
      </w:pPr>
      <w:r>
        <w:rPr>
          <w:rStyle w:val="af"/>
          <w:rFonts w:ascii="Segoe UI" w:hAnsi="Segoe UI" w:cs="Segoe UI"/>
          <w:sz w:val="21"/>
          <w:szCs w:val="21"/>
        </w:rPr>
        <w:t xml:space="preserve">1. </w:t>
      </w:r>
      <w:r>
        <w:rPr>
          <w:rStyle w:val="af"/>
          <w:rFonts w:ascii="Segoe UI" w:hAnsi="Segoe UI" w:cs="Segoe UI" w:hint="eastAsia"/>
          <w:sz w:val="21"/>
          <w:szCs w:val="21"/>
        </w:rPr>
        <w:t>按产品形态</w:t>
      </w:r>
    </w:p>
    <w:p w14:paraId="6EBB4663" w14:textId="5BDD526C" w:rsidR="00DE68D5" w:rsidRDefault="00DE68D5" w:rsidP="00DE68D5">
      <w:pPr>
        <w:pStyle w:val="ae"/>
        <w:shd w:val="clear" w:color="auto" w:fill="FFFFFF"/>
        <w:spacing w:before="180" w:beforeAutospacing="0" w:after="180" w:afterAutospacing="0"/>
        <w:rPr>
          <w:rFonts w:ascii="Segoe UI" w:hAnsi="Segoe UI" w:cs="Segoe UI"/>
          <w:sz w:val="21"/>
          <w:szCs w:val="21"/>
        </w:rPr>
      </w:pPr>
      <w:r>
        <w:rPr>
          <w:rStyle w:val="af"/>
          <w:rFonts w:ascii="Segoe UI" w:hAnsi="Segoe UI" w:cs="Segoe UI"/>
          <w:sz w:val="21"/>
          <w:szCs w:val="21"/>
        </w:rPr>
        <w:t>储水式</w:t>
      </w:r>
      <w:r>
        <w:rPr>
          <w:rStyle w:val="af"/>
          <w:rFonts w:ascii="Segoe UI" w:hAnsi="Segoe UI" w:cs="Segoe UI"/>
          <w:sz w:val="21"/>
          <w:szCs w:val="21"/>
        </w:rPr>
        <w:t xml:space="preserve"> vs </w:t>
      </w:r>
      <w:r>
        <w:rPr>
          <w:rStyle w:val="af"/>
          <w:rFonts w:ascii="Segoe UI" w:hAnsi="Segoe UI" w:cs="Segoe UI"/>
          <w:sz w:val="21"/>
          <w:szCs w:val="21"/>
        </w:rPr>
        <w:t>即热式</w:t>
      </w:r>
      <w:r>
        <w:rPr>
          <w:rFonts w:ascii="Segoe UI" w:hAnsi="Segoe UI" w:cs="Segoe UI"/>
          <w:sz w:val="21"/>
          <w:szCs w:val="21"/>
        </w:rPr>
        <w:t>​</w:t>
      </w:r>
      <w:r>
        <w:rPr>
          <w:rFonts w:ascii="Segoe UI" w:hAnsi="Segoe UI" w:cs="Segoe UI"/>
          <w:sz w:val="21"/>
          <w:szCs w:val="21"/>
        </w:rPr>
        <w:br/>
      </w:r>
      <w:r>
        <w:rPr>
          <w:rFonts w:ascii="Segoe UI" w:hAnsi="Segoe UI" w:cs="Segoe UI"/>
          <w:sz w:val="21"/>
          <w:szCs w:val="21"/>
        </w:rPr>
        <w:t>储水式（</w:t>
      </w:r>
      <w:r>
        <w:rPr>
          <w:rFonts w:ascii="Segoe UI" w:hAnsi="Segoe UI" w:cs="Segoe UI"/>
          <w:sz w:val="21"/>
          <w:szCs w:val="21"/>
        </w:rPr>
        <w:t>tank</w:t>
      </w:r>
      <w:r>
        <w:rPr>
          <w:rFonts w:ascii="Segoe UI" w:hAnsi="Segoe UI" w:cs="Segoe UI"/>
          <w:sz w:val="21"/>
          <w:szCs w:val="21"/>
        </w:rPr>
        <w:t>）带一个</w:t>
      </w:r>
      <w:r>
        <w:rPr>
          <w:rFonts w:ascii="Segoe UI" w:hAnsi="Segoe UI" w:cs="Segoe UI"/>
          <w:sz w:val="21"/>
          <w:szCs w:val="21"/>
        </w:rPr>
        <w:t xml:space="preserve"> 20–80 </w:t>
      </w:r>
      <w:r>
        <w:rPr>
          <w:rFonts w:ascii="Segoe UI" w:hAnsi="Segoe UI" w:cs="Segoe UI"/>
          <w:sz w:val="21"/>
          <w:szCs w:val="21"/>
        </w:rPr>
        <w:t>加仑的保温水箱，预先把水加热储存，随取随用</w:t>
      </w:r>
      <w:r>
        <w:rPr>
          <w:rFonts w:ascii="Segoe UI" w:hAnsi="Segoe UI" w:cs="Segoe UI"/>
          <w:sz w:val="21"/>
          <w:szCs w:val="21"/>
        </w:rPr>
        <w:t>——</w:t>
      </w:r>
      <w:r>
        <w:rPr>
          <w:rFonts w:ascii="Segoe UI" w:hAnsi="Segoe UI" w:cs="Segoe UI"/>
          <w:sz w:val="21"/>
          <w:szCs w:val="21"/>
        </w:rPr>
        <w:t>美式住宅的绝对主流。即热式</w:t>
      </w:r>
      <w:r>
        <w:rPr>
          <w:rFonts w:ascii="Segoe UI" w:hAnsi="Segoe UI" w:cs="Segoe UI"/>
          <w:sz w:val="21"/>
          <w:szCs w:val="21"/>
        </w:rPr>
        <w:t>/</w:t>
      </w:r>
      <w:r>
        <w:rPr>
          <w:rFonts w:ascii="Segoe UI" w:hAnsi="Segoe UI" w:cs="Segoe UI"/>
          <w:sz w:val="21"/>
          <w:szCs w:val="21"/>
        </w:rPr>
        <w:t>无水箱（</w:t>
      </w:r>
      <w:r>
        <w:rPr>
          <w:rFonts w:ascii="Segoe UI" w:hAnsi="Segoe UI" w:cs="Segoe UI"/>
          <w:sz w:val="21"/>
          <w:szCs w:val="21"/>
        </w:rPr>
        <w:t>tankless</w:t>
      </w:r>
      <w:r>
        <w:rPr>
          <w:rFonts w:ascii="Segoe UI" w:hAnsi="Segoe UI" w:cs="Segoe UI"/>
          <w:sz w:val="21"/>
          <w:szCs w:val="21"/>
        </w:rPr>
        <w:t>）没有水箱，冷水流经热交换器时瞬间加热，优点是不限热水量、体积小，缺点是单价高、安装常需改造气管或电路。</w:t>
      </w:r>
    </w:p>
    <w:p w14:paraId="63F345AD" w14:textId="77777777" w:rsidR="00A87823" w:rsidRDefault="00A87823" w:rsidP="00DE68D5">
      <w:pPr>
        <w:pStyle w:val="ae"/>
        <w:shd w:val="clear" w:color="auto" w:fill="FFFFFF"/>
        <w:spacing w:before="180" w:beforeAutospacing="0" w:after="180" w:afterAutospacing="0"/>
        <w:rPr>
          <w:rFonts w:ascii="Segoe UI" w:hAnsi="Segoe UI" w:cs="Segoe UI"/>
          <w:sz w:val="21"/>
          <w:szCs w:val="21"/>
        </w:rPr>
      </w:pPr>
    </w:p>
    <w:p w14:paraId="7B0471C2" w14:textId="7C6267BD" w:rsidR="00DE68D5" w:rsidRPr="00DE68D5" w:rsidRDefault="00DE68D5" w:rsidP="00DE68D5">
      <w:pPr>
        <w:pStyle w:val="ae"/>
        <w:shd w:val="clear" w:color="auto" w:fill="FFFFFF"/>
        <w:spacing w:before="180" w:beforeAutospacing="0" w:after="180" w:afterAutospacing="0"/>
        <w:rPr>
          <w:rStyle w:val="af"/>
          <w:rFonts w:ascii="Segoe UI" w:hAnsi="Segoe UI" w:cs="Segoe UI"/>
          <w:sz w:val="21"/>
          <w:szCs w:val="21"/>
        </w:rPr>
      </w:pPr>
      <w:r w:rsidRPr="00DE68D5">
        <w:rPr>
          <w:rStyle w:val="af"/>
          <w:rFonts w:ascii="Segoe UI" w:hAnsi="Segoe UI" w:cs="Segoe UI" w:hint="eastAsia"/>
          <w:sz w:val="21"/>
          <w:szCs w:val="21"/>
        </w:rPr>
        <w:t xml:space="preserve">2. </w:t>
      </w:r>
      <w:r w:rsidRPr="00DE68D5">
        <w:rPr>
          <w:rStyle w:val="af"/>
          <w:rFonts w:ascii="Segoe UI" w:hAnsi="Segoe UI" w:cs="Segoe UI"/>
          <w:sz w:val="21"/>
          <w:szCs w:val="21"/>
        </w:rPr>
        <w:t>按热源</w:t>
      </w:r>
    </w:p>
    <w:p w14:paraId="1BB6A270" w14:textId="414917CD" w:rsidR="00D46831" w:rsidRDefault="00D46831" w:rsidP="00D46831">
      <w:pPr>
        <w:pStyle w:val="ae"/>
        <w:shd w:val="clear" w:color="auto" w:fill="FFFFFF"/>
        <w:spacing w:before="180" w:beforeAutospacing="0" w:after="180" w:afterAutospacing="0"/>
        <w:rPr>
          <w:rFonts w:ascii="Segoe UI" w:hAnsi="Segoe UI" w:cs="Segoe UI"/>
          <w:sz w:val="21"/>
          <w:szCs w:val="21"/>
        </w:rPr>
      </w:pPr>
      <w:r>
        <w:rPr>
          <w:rStyle w:val="af"/>
          <w:rFonts w:ascii="Segoe UI" w:hAnsi="Segoe UI" w:cs="Segoe UI"/>
          <w:sz w:val="21"/>
          <w:szCs w:val="21"/>
        </w:rPr>
        <w:t>燃气无水箱（即热式）</w:t>
      </w:r>
      <w:r>
        <w:rPr>
          <w:rFonts w:ascii="Segoe UI" w:hAnsi="Segoe UI" w:cs="Segoe UI"/>
          <w:sz w:val="21"/>
          <w:szCs w:val="21"/>
        </w:rPr>
        <w:t>​</w:t>
      </w:r>
      <w:r>
        <w:rPr>
          <w:rFonts w:ascii="Segoe UI" w:hAnsi="Segoe UI" w:cs="Segoe UI"/>
          <w:sz w:val="21"/>
          <w:szCs w:val="21"/>
        </w:rPr>
        <w:br/>
      </w:r>
      <w:r>
        <w:rPr>
          <w:rFonts w:ascii="Segoe UI" w:hAnsi="Segoe UI" w:cs="Segoe UI"/>
          <w:sz w:val="21"/>
          <w:szCs w:val="21"/>
        </w:rPr>
        <w:t>无水箱</w:t>
      </w:r>
      <w:r>
        <w:rPr>
          <w:rFonts w:ascii="Segoe UI" w:hAnsi="Segoe UI" w:cs="Segoe UI"/>
          <w:sz w:val="21"/>
          <w:szCs w:val="21"/>
        </w:rPr>
        <w:t>+</w:t>
      </w:r>
      <w:r>
        <w:rPr>
          <w:rFonts w:ascii="Segoe UI" w:hAnsi="Segoe UI" w:cs="Segoe UI"/>
          <w:sz w:val="21"/>
          <w:szCs w:val="21"/>
        </w:rPr>
        <w:t>燃气燃烧器瞬间加热，单机功率大（约</w:t>
      </w:r>
      <w:r>
        <w:rPr>
          <w:rFonts w:ascii="Segoe UI" w:hAnsi="Segoe UI" w:cs="Segoe UI"/>
          <w:sz w:val="21"/>
          <w:szCs w:val="21"/>
        </w:rPr>
        <w:t xml:space="preserve"> 19.9 </w:t>
      </w:r>
      <w:r>
        <w:rPr>
          <w:rFonts w:ascii="Segoe UI" w:hAnsi="Segoe UI" w:cs="Segoe UI"/>
          <w:sz w:val="21"/>
          <w:szCs w:val="21"/>
        </w:rPr>
        <w:t>万</w:t>
      </w:r>
      <w:r>
        <w:rPr>
          <w:rFonts w:ascii="Segoe UI" w:hAnsi="Segoe UI" w:cs="Segoe UI"/>
          <w:sz w:val="21"/>
          <w:szCs w:val="21"/>
        </w:rPr>
        <w:t xml:space="preserve"> BTU </w:t>
      </w:r>
      <w:r>
        <w:rPr>
          <w:rFonts w:ascii="Segoe UI" w:hAnsi="Segoe UI" w:cs="Segoe UI"/>
          <w:sz w:val="21"/>
          <w:szCs w:val="21"/>
        </w:rPr>
        <w:t>级），需要足够的燃气管径和排烟条件。</w:t>
      </w:r>
    </w:p>
    <w:p w14:paraId="35051981" w14:textId="2C22DCAE" w:rsidR="00D46831" w:rsidRPr="00203A24" w:rsidRDefault="00D46831" w:rsidP="00DE68D5">
      <w:pPr>
        <w:pStyle w:val="ae"/>
        <w:shd w:val="clear" w:color="auto" w:fill="FFFFFF"/>
        <w:spacing w:before="180" w:beforeAutospacing="0" w:after="180" w:afterAutospacing="0"/>
        <w:rPr>
          <w:rStyle w:val="af"/>
          <w:rFonts w:ascii="Segoe UI" w:hAnsi="Segoe UI" w:cs="Segoe UI"/>
          <w:b w:val="0"/>
          <w:bCs w:val="0"/>
          <w:sz w:val="21"/>
          <w:szCs w:val="21"/>
        </w:rPr>
      </w:pPr>
      <w:r>
        <w:rPr>
          <w:rStyle w:val="af"/>
          <w:rFonts w:ascii="Segoe UI" w:hAnsi="Segoe UI" w:cs="Segoe UI"/>
          <w:sz w:val="21"/>
          <w:szCs w:val="21"/>
        </w:rPr>
        <w:t>电无水箱</w:t>
      </w:r>
      <w:r>
        <w:rPr>
          <w:rFonts w:ascii="Segoe UI" w:hAnsi="Segoe UI" w:cs="Segoe UI"/>
          <w:sz w:val="21"/>
          <w:szCs w:val="21"/>
        </w:rPr>
        <w:br/>
      </w:r>
      <w:r>
        <w:rPr>
          <w:rFonts w:ascii="Segoe UI" w:hAnsi="Segoe UI" w:cs="Segoe UI"/>
          <w:sz w:val="21"/>
          <w:szCs w:val="21"/>
        </w:rPr>
        <w:t>无水箱</w:t>
      </w:r>
      <w:r>
        <w:rPr>
          <w:rFonts w:ascii="Segoe UI" w:hAnsi="Segoe UI" w:cs="Segoe UI"/>
          <w:sz w:val="21"/>
          <w:szCs w:val="21"/>
        </w:rPr>
        <w:t>+</w:t>
      </w:r>
      <w:r>
        <w:rPr>
          <w:rFonts w:ascii="Segoe UI" w:hAnsi="Segoe UI" w:cs="Segoe UI"/>
          <w:sz w:val="21"/>
          <w:szCs w:val="21"/>
        </w:rPr>
        <w:t>电阻即时加热。瓶颈在电力基础设施：即热功率极高，通常需要</w:t>
      </w:r>
      <w:r>
        <w:rPr>
          <w:rFonts w:ascii="Segoe UI" w:hAnsi="Segoe UI" w:cs="Segoe UI"/>
          <w:sz w:val="21"/>
          <w:szCs w:val="21"/>
        </w:rPr>
        <w:t xml:space="preserve"> 100A </w:t>
      </w:r>
      <w:r>
        <w:rPr>
          <w:rFonts w:ascii="Segoe UI" w:hAnsi="Segoe UI" w:cs="Segoe UI"/>
          <w:sz w:val="21"/>
          <w:szCs w:val="21"/>
        </w:rPr>
        <w:t>以上专用电路，多数美国家庭要为此升级电箱，因此始终是边缘品类。</w:t>
      </w:r>
    </w:p>
    <w:p w14:paraId="21884212" w14:textId="5078C472" w:rsidR="00DE68D5" w:rsidRDefault="00DE68D5" w:rsidP="00DE68D5">
      <w:pPr>
        <w:pStyle w:val="ae"/>
        <w:shd w:val="clear" w:color="auto" w:fill="FFFFFF"/>
        <w:spacing w:before="180" w:beforeAutospacing="0" w:after="180" w:afterAutospacing="0"/>
        <w:rPr>
          <w:rFonts w:ascii="Segoe UI" w:hAnsi="Segoe UI" w:cs="Segoe UI"/>
          <w:sz w:val="21"/>
          <w:szCs w:val="21"/>
        </w:rPr>
      </w:pPr>
      <w:r>
        <w:rPr>
          <w:rStyle w:val="af"/>
          <w:rFonts w:ascii="Segoe UI" w:hAnsi="Segoe UI" w:cs="Segoe UI"/>
          <w:sz w:val="21"/>
          <w:szCs w:val="21"/>
        </w:rPr>
        <w:t>热泵热水器（</w:t>
      </w:r>
      <w:r>
        <w:rPr>
          <w:rStyle w:val="af"/>
          <w:rFonts w:ascii="Segoe UI" w:hAnsi="Segoe UI" w:cs="Segoe UI"/>
          <w:sz w:val="21"/>
          <w:szCs w:val="21"/>
        </w:rPr>
        <w:t>HPWH</w:t>
      </w:r>
      <w:r>
        <w:rPr>
          <w:rStyle w:val="af"/>
          <w:rFonts w:ascii="Segoe UI" w:hAnsi="Segoe UI" w:cs="Segoe UI"/>
          <w:sz w:val="21"/>
          <w:szCs w:val="21"/>
        </w:rPr>
        <w:t>）</w:t>
      </w:r>
      <w:r>
        <w:rPr>
          <w:rFonts w:ascii="Segoe UI" w:hAnsi="Segoe UI" w:cs="Segoe UI"/>
          <w:sz w:val="21"/>
          <w:szCs w:val="21"/>
        </w:rPr>
        <w:br/>
      </w:r>
      <w:r>
        <w:rPr>
          <w:rFonts w:ascii="Segoe UI" w:hAnsi="Segoe UI" w:cs="Segoe UI"/>
          <w:sz w:val="21"/>
          <w:szCs w:val="21"/>
        </w:rPr>
        <w:t>电储水式用电阻加热棒直接把水烧热（能效系数</w:t>
      </w:r>
      <w:r>
        <w:rPr>
          <w:rFonts w:ascii="Segoe UI" w:hAnsi="Segoe UI" w:cs="Segoe UI"/>
          <w:sz w:val="21"/>
          <w:szCs w:val="21"/>
        </w:rPr>
        <w:t xml:space="preserve"> COP=1</w:t>
      </w:r>
      <w:r>
        <w:rPr>
          <w:rFonts w:ascii="Segoe UI" w:hAnsi="Segoe UI" w:cs="Segoe UI"/>
          <w:sz w:val="21"/>
          <w:szCs w:val="21"/>
        </w:rPr>
        <w:t>，</w:t>
      </w:r>
      <w:r>
        <w:rPr>
          <w:rFonts w:ascii="Segoe UI" w:hAnsi="Segoe UI" w:cs="Segoe UI"/>
          <w:sz w:val="21"/>
          <w:szCs w:val="21"/>
        </w:rPr>
        <w:t xml:space="preserve">1 </w:t>
      </w:r>
      <w:r>
        <w:rPr>
          <w:rFonts w:ascii="Segoe UI" w:hAnsi="Segoe UI" w:cs="Segoe UI"/>
          <w:sz w:val="21"/>
          <w:szCs w:val="21"/>
        </w:rPr>
        <w:t>度电换</w:t>
      </w:r>
      <w:r>
        <w:rPr>
          <w:rFonts w:ascii="Segoe UI" w:hAnsi="Segoe UI" w:cs="Segoe UI"/>
          <w:sz w:val="21"/>
          <w:szCs w:val="21"/>
        </w:rPr>
        <w:t xml:space="preserve"> 1 </w:t>
      </w:r>
      <w:r>
        <w:rPr>
          <w:rFonts w:ascii="Segoe UI" w:hAnsi="Segoe UI" w:cs="Segoe UI"/>
          <w:sz w:val="21"/>
          <w:szCs w:val="21"/>
        </w:rPr>
        <w:t>度热量）。热泵不用电阻，而是像倒转的冰箱</w:t>
      </w:r>
      <w:r>
        <w:rPr>
          <w:rFonts w:ascii="Segoe UI" w:hAnsi="Segoe UI" w:cs="Segoe UI"/>
          <w:sz w:val="21"/>
          <w:szCs w:val="21"/>
        </w:rPr>
        <w:t>/</w:t>
      </w:r>
      <w:r>
        <w:rPr>
          <w:rFonts w:ascii="Segoe UI" w:hAnsi="Segoe UI" w:cs="Segoe UI"/>
          <w:sz w:val="21"/>
          <w:szCs w:val="21"/>
        </w:rPr>
        <w:t>空调：压缩机从周围空气中搬运热量到水箱，</w:t>
      </w:r>
      <w:r>
        <w:rPr>
          <w:rFonts w:ascii="Segoe UI" w:hAnsi="Segoe UI" w:cs="Segoe UI"/>
          <w:sz w:val="21"/>
          <w:szCs w:val="21"/>
        </w:rPr>
        <w:t xml:space="preserve">COP </w:t>
      </w:r>
      <w:r>
        <w:rPr>
          <w:rFonts w:ascii="Segoe UI" w:hAnsi="Segoe UI" w:cs="Segoe UI"/>
          <w:sz w:val="21"/>
          <w:szCs w:val="21"/>
        </w:rPr>
        <w:t>约</w:t>
      </w:r>
      <w:r>
        <w:rPr>
          <w:rFonts w:ascii="Segoe UI" w:hAnsi="Segoe UI" w:cs="Segoe UI"/>
          <w:sz w:val="21"/>
          <w:szCs w:val="21"/>
        </w:rPr>
        <w:t xml:space="preserve"> 3–4</w:t>
      </w:r>
      <w:r>
        <w:rPr>
          <w:rFonts w:ascii="Segoe UI" w:hAnsi="Segoe UI" w:cs="Segoe UI"/>
          <w:sz w:val="21"/>
          <w:szCs w:val="21"/>
        </w:rPr>
        <w:t>，能效是电阻式的</w:t>
      </w:r>
      <w:r>
        <w:rPr>
          <w:rFonts w:ascii="Segoe UI" w:hAnsi="Segoe UI" w:cs="Segoe UI"/>
          <w:sz w:val="21"/>
          <w:szCs w:val="21"/>
        </w:rPr>
        <w:t xml:space="preserve"> 2–5 </w:t>
      </w:r>
      <w:r>
        <w:rPr>
          <w:rFonts w:ascii="Segoe UI" w:hAnsi="Segoe UI" w:cs="Segoe UI"/>
          <w:sz w:val="21"/>
          <w:szCs w:val="21"/>
        </w:rPr>
        <w:t>倍。形态上仍带水箱，分</w:t>
      </w:r>
      <w:r>
        <w:rPr>
          <w:rFonts w:ascii="Segoe UI" w:hAnsi="Segoe UI" w:cs="Segoe UI"/>
          <w:sz w:val="21"/>
          <w:szCs w:val="21"/>
        </w:rPr>
        <w:lastRenderedPageBreak/>
        <w:t>一体式（热泵</w:t>
      </w:r>
      <w:r>
        <w:rPr>
          <w:rFonts w:ascii="Segoe UI" w:hAnsi="Segoe UI" w:cs="Segoe UI"/>
          <w:sz w:val="21"/>
          <w:szCs w:val="21"/>
        </w:rPr>
        <w:t>+</w:t>
      </w:r>
      <w:r>
        <w:rPr>
          <w:rFonts w:ascii="Segoe UI" w:hAnsi="Segoe UI" w:cs="Segoe UI"/>
          <w:sz w:val="21"/>
          <w:szCs w:val="21"/>
        </w:rPr>
        <w:t>水箱顶置一体）和分体式（室外机</w:t>
      </w:r>
      <w:r>
        <w:rPr>
          <w:rFonts w:ascii="Segoe UI" w:hAnsi="Segoe UI" w:cs="Segoe UI"/>
          <w:sz w:val="21"/>
          <w:szCs w:val="21"/>
        </w:rPr>
        <w:t>+</w:t>
      </w:r>
      <w:r>
        <w:rPr>
          <w:rFonts w:ascii="Segoe UI" w:hAnsi="Segoe UI" w:cs="Segoe UI"/>
          <w:sz w:val="21"/>
          <w:szCs w:val="21"/>
        </w:rPr>
        <w:t>水箱，</w:t>
      </w:r>
      <w:r>
        <w:rPr>
          <w:rFonts w:ascii="Segoe UI" w:hAnsi="Segoe UI" w:cs="Segoe UI"/>
          <w:sz w:val="21"/>
          <w:szCs w:val="21"/>
        </w:rPr>
        <w:t xml:space="preserve">A.O. Smith </w:t>
      </w:r>
      <w:r>
        <w:rPr>
          <w:rFonts w:ascii="Segoe UI" w:hAnsi="Segoe UI" w:cs="Segoe UI"/>
          <w:sz w:val="21"/>
          <w:szCs w:val="21"/>
        </w:rPr>
        <w:t>在加州主推的就是分体式）。两个关键点：</w:t>
      </w:r>
      <w:r>
        <w:rPr>
          <w:rFonts w:ascii="Cambria Math" w:hAnsi="Cambria Math" w:cs="Cambria Math"/>
          <w:sz w:val="21"/>
          <w:szCs w:val="21"/>
        </w:rPr>
        <w:t>①</w:t>
      </w:r>
      <w:r>
        <w:rPr>
          <w:rFonts w:ascii="Segoe UI" w:hAnsi="Segoe UI" w:cs="Segoe UI"/>
          <w:sz w:val="21"/>
          <w:szCs w:val="21"/>
        </w:rPr>
        <w:t xml:space="preserve">AHRI </w:t>
      </w:r>
      <w:r>
        <w:rPr>
          <w:rFonts w:ascii="Segoe UI" w:hAnsi="Segoe UI" w:cs="Segoe UI"/>
          <w:sz w:val="21"/>
          <w:szCs w:val="21"/>
        </w:rPr>
        <w:t>统计把热泵计入</w:t>
      </w:r>
      <w:r>
        <w:rPr>
          <w:rFonts w:ascii="Segoe UI" w:hAnsi="Segoe UI" w:cs="Segoe UI"/>
          <w:sz w:val="21"/>
          <w:szCs w:val="21"/>
        </w:rPr>
        <w:t>“</w:t>
      </w:r>
      <w:r>
        <w:rPr>
          <w:rFonts w:ascii="Segoe UI" w:hAnsi="Segoe UI" w:cs="Segoe UI"/>
          <w:sz w:val="21"/>
          <w:szCs w:val="21"/>
        </w:rPr>
        <w:t>电储水式</w:t>
      </w:r>
      <w:r>
        <w:rPr>
          <w:rFonts w:ascii="Segoe UI" w:hAnsi="Segoe UI" w:cs="Segoe UI"/>
          <w:sz w:val="21"/>
          <w:szCs w:val="21"/>
        </w:rPr>
        <w:t>”</w:t>
      </w:r>
      <w:r>
        <w:rPr>
          <w:rFonts w:ascii="Segoe UI" w:hAnsi="Segoe UI" w:cs="Segoe UI"/>
          <w:sz w:val="21"/>
          <w:szCs w:val="21"/>
        </w:rPr>
        <w:t>，所以</w:t>
      </w:r>
      <w:r>
        <w:rPr>
          <w:rFonts w:ascii="Segoe UI" w:hAnsi="Segoe UI" w:cs="Segoe UI"/>
          <w:sz w:val="21"/>
          <w:szCs w:val="21"/>
        </w:rPr>
        <w:t xml:space="preserve"> 5.03M </w:t>
      </w:r>
      <w:r>
        <w:rPr>
          <w:rFonts w:ascii="Segoe UI" w:hAnsi="Segoe UI" w:cs="Segoe UI"/>
          <w:sz w:val="21"/>
          <w:szCs w:val="21"/>
        </w:rPr>
        <w:t>的电类里含约</w:t>
      </w:r>
      <w:r>
        <w:rPr>
          <w:rFonts w:ascii="Segoe UI" w:hAnsi="Segoe UI" w:cs="Segoe UI"/>
          <w:sz w:val="21"/>
          <w:szCs w:val="21"/>
        </w:rPr>
        <w:t xml:space="preserve"> 0.19M </w:t>
      </w:r>
      <w:r>
        <w:rPr>
          <w:rFonts w:ascii="Segoe UI" w:hAnsi="Segoe UI" w:cs="Segoe UI"/>
          <w:sz w:val="21"/>
          <w:szCs w:val="21"/>
        </w:rPr>
        <w:t>热泵；</w:t>
      </w:r>
      <w:r>
        <w:rPr>
          <w:rFonts w:ascii="Cambria Math" w:hAnsi="Cambria Math" w:cs="Cambria Math"/>
          <w:sz w:val="21"/>
          <w:szCs w:val="21"/>
        </w:rPr>
        <w:t>②</w:t>
      </w:r>
      <w:r>
        <w:rPr>
          <w:rFonts w:ascii="Segoe UI" w:hAnsi="Segoe UI" w:cs="Segoe UI"/>
          <w:sz w:val="21"/>
          <w:szCs w:val="21"/>
        </w:rPr>
        <w:t>热泵是增速最快的子品类（</w:t>
      </w:r>
      <w:r>
        <w:rPr>
          <w:rFonts w:ascii="Segoe UI" w:hAnsi="Segoe UI" w:cs="Segoe UI"/>
          <w:sz w:val="21"/>
          <w:szCs w:val="21"/>
        </w:rPr>
        <w:t>+35%/</w:t>
      </w:r>
      <w:r>
        <w:rPr>
          <w:rFonts w:ascii="Segoe UI" w:hAnsi="Segoe UI" w:cs="Segoe UI"/>
          <w:sz w:val="21"/>
          <w:szCs w:val="21"/>
        </w:rPr>
        <w:t>年），但基数仅占全市场约</w:t>
      </w:r>
      <w:r>
        <w:rPr>
          <w:rFonts w:ascii="Segoe UI" w:hAnsi="Segoe UI" w:cs="Segoe UI"/>
          <w:sz w:val="21"/>
          <w:szCs w:val="21"/>
        </w:rPr>
        <w:t xml:space="preserve"> 2%</w:t>
      </w:r>
      <w:r>
        <w:rPr>
          <w:rFonts w:ascii="Segoe UI" w:hAnsi="Segoe UI" w:cs="Segoe UI"/>
          <w:sz w:val="21"/>
          <w:szCs w:val="21"/>
        </w:rPr>
        <w:t>。它是</w:t>
      </w:r>
      <w:r>
        <w:rPr>
          <w:rFonts w:ascii="Segoe UI" w:hAnsi="Segoe UI" w:cs="Segoe UI"/>
          <w:sz w:val="21"/>
          <w:szCs w:val="21"/>
        </w:rPr>
        <w:t xml:space="preserve"> 2029 </w:t>
      </w:r>
      <w:r>
        <w:rPr>
          <w:rFonts w:ascii="Segoe UI" w:hAnsi="Segoe UI" w:cs="Segoe UI"/>
          <w:sz w:val="21"/>
          <w:szCs w:val="21"/>
        </w:rPr>
        <w:t>年新能效标准最大的受益方向。</w:t>
      </w:r>
    </w:p>
    <w:p w14:paraId="3876CCA7" w14:textId="01BEB4A8" w:rsidR="00DE68D5" w:rsidRDefault="00DE68D5" w:rsidP="00DE68D5">
      <w:pPr>
        <w:pStyle w:val="ae"/>
        <w:shd w:val="clear" w:color="auto" w:fill="FFFFFF"/>
        <w:spacing w:before="180" w:beforeAutospacing="0" w:after="180" w:afterAutospacing="0"/>
        <w:rPr>
          <w:rFonts w:ascii="Segoe UI" w:hAnsi="Segoe UI" w:cs="Segoe UI"/>
          <w:sz w:val="21"/>
          <w:szCs w:val="21"/>
        </w:rPr>
      </w:pPr>
      <w:r>
        <w:rPr>
          <w:rStyle w:val="af"/>
          <w:rFonts w:ascii="Segoe UI" w:hAnsi="Segoe UI" w:cs="Segoe UI"/>
          <w:sz w:val="21"/>
          <w:szCs w:val="21"/>
        </w:rPr>
        <w:t>太阳能</w:t>
      </w:r>
      <w:r>
        <w:rPr>
          <w:rFonts w:ascii="Segoe UI" w:hAnsi="Segoe UI" w:cs="Segoe UI"/>
          <w:sz w:val="21"/>
          <w:szCs w:val="21"/>
        </w:rPr>
        <w:br/>
      </w:r>
      <w:r>
        <w:rPr>
          <w:rFonts w:ascii="Segoe UI" w:hAnsi="Segoe UI" w:cs="Segoe UI"/>
          <w:sz w:val="21"/>
          <w:szCs w:val="21"/>
        </w:rPr>
        <w:t>太阳能热水器是</w:t>
      </w:r>
      <w:r>
        <w:rPr>
          <w:rStyle w:val="af"/>
          <w:rFonts w:ascii="Segoe UI" w:hAnsi="Segoe UI" w:cs="Segoe UI"/>
          <w:sz w:val="21"/>
          <w:szCs w:val="21"/>
        </w:rPr>
        <w:t>光热</w:t>
      </w:r>
      <w:r>
        <w:rPr>
          <w:rFonts w:ascii="Segoe UI" w:hAnsi="Segoe UI" w:cs="Segoe UI"/>
          <w:sz w:val="21"/>
          <w:szCs w:val="21"/>
        </w:rPr>
        <w:t>（</w:t>
      </w:r>
      <w:r>
        <w:rPr>
          <w:rFonts w:ascii="Segoe UI" w:hAnsi="Segoe UI" w:cs="Segoe UI"/>
          <w:sz w:val="21"/>
          <w:szCs w:val="21"/>
        </w:rPr>
        <w:t>thermal</w:t>
      </w:r>
      <w:r>
        <w:rPr>
          <w:rFonts w:ascii="Segoe UI" w:hAnsi="Segoe UI" w:cs="Segoe UI"/>
          <w:sz w:val="21"/>
          <w:szCs w:val="21"/>
        </w:rPr>
        <w:t>），不是光伏（</w:t>
      </w:r>
      <w:r>
        <w:rPr>
          <w:rFonts w:ascii="Segoe UI" w:hAnsi="Segoe UI" w:cs="Segoe UI"/>
          <w:sz w:val="21"/>
          <w:szCs w:val="21"/>
        </w:rPr>
        <w:t>PV</w:t>
      </w:r>
      <w:r>
        <w:rPr>
          <w:rFonts w:ascii="Segoe UI" w:hAnsi="Segoe UI" w:cs="Segoe UI"/>
          <w:sz w:val="21"/>
          <w:szCs w:val="21"/>
        </w:rPr>
        <w:t>）。工作原理是屋顶集热板吸收太阳辐射直接加热介质，再换热到储水箱；光伏是把阳光转成电，二者是不同技术。市面上基本不存在</w:t>
      </w:r>
      <w:r>
        <w:rPr>
          <w:rFonts w:ascii="Segoe UI" w:hAnsi="Segoe UI" w:cs="Segoe UI"/>
          <w:sz w:val="21"/>
          <w:szCs w:val="21"/>
        </w:rPr>
        <w:t>“</w:t>
      </w:r>
      <w:r>
        <w:rPr>
          <w:rFonts w:ascii="Segoe UI" w:hAnsi="Segoe UI" w:cs="Segoe UI"/>
          <w:sz w:val="21"/>
          <w:szCs w:val="21"/>
        </w:rPr>
        <w:t>光伏热水器</w:t>
      </w:r>
      <w:r>
        <w:rPr>
          <w:rFonts w:ascii="Segoe UI" w:hAnsi="Segoe UI" w:cs="Segoe UI"/>
          <w:sz w:val="21"/>
          <w:szCs w:val="21"/>
        </w:rPr>
        <w:t>”</w:t>
      </w:r>
      <w:r>
        <w:rPr>
          <w:rFonts w:ascii="Segoe UI" w:hAnsi="Segoe UI" w:cs="Segoe UI"/>
          <w:sz w:val="21"/>
          <w:szCs w:val="21"/>
        </w:rPr>
        <w:t>这个品类。太阳能热水器在美国住宅市场渗透率极低，可忽略</w:t>
      </w:r>
      <w:r>
        <w:rPr>
          <w:rFonts w:ascii="Segoe UI" w:hAnsi="Segoe UI" w:cs="Segoe UI"/>
          <w:sz w:val="21"/>
          <w:szCs w:val="21"/>
        </w:rPr>
        <w:t>——</w:t>
      </w:r>
      <w:r>
        <w:rPr>
          <w:rFonts w:ascii="Segoe UI" w:hAnsi="Segoe UI" w:cs="Segoe UI"/>
          <w:sz w:val="21"/>
          <w:szCs w:val="21"/>
        </w:rPr>
        <w:t>它主要在中国、以色列、希腊、澳洲等日照条件好且政策推动的市场普及。</w:t>
      </w:r>
      <w:r>
        <w:rPr>
          <w:rFonts w:ascii="Segoe UI" w:hAnsi="Segoe UI" w:cs="Segoe UI"/>
          <w:sz w:val="21"/>
          <w:szCs w:val="21"/>
        </w:rPr>
        <w:t xml:space="preserve">A.O. Smith </w:t>
      </w:r>
      <w:r>
        <w:rPr>
          <w:rFonts w:ascii="Segoe UI" w:hAnsi="Segoe UI" w:cs="Segoe UI"/>
          <w:sz w:val="21"/>
          <w:szCs w:val="21"/>
        </w:rPr>
        <w:t>在美国有商用太阳能热水系统产品线，规模很小。</w:t>
      </w:r>
    </w:p>
    <w:p w14:paraId="409604AD" w14:textId="3D651ACA" w:rsidR="00DE68D5" w:rsidRDefault="00DE68D5" w:rsidP="00DE68D5">
      <w:pPr>
        <w:pStyle w:val="ae"/>
        <w:shd w:val="clear" w:color="auto" w:fill="FFFFFF"/>
        <w:spacing w:before="180" w:beforeAutospacing="0" w:after="180" w:afterAutospacing="0"/>
        <w:rPr>
          <w:rFonts w:ascii="Segoe UI" w:hAnsi="Segoe UI" w:cs="Segoe UI"/>
          <w:sz w:val="21"/>
          <w:szCs w:val="21"/>
        </w:rPr>
      </w:pPr>
      <w:r>
        <w:rPr>
          <w:rStyle w:val="af"/>
          <w:rFonts w:ascii="Segoe UI" w:hAnsi="Segoe UI" w:cs="Segoe UI"/>
          <w:sz w:val="21"/>
          <w:szCs w:val="21"/>
        </w:rPr>
        <w:t>燃油储水式</w:t>
      </w:r>
      <w:r>
        <w:rPr>
          <w:rFonts w:ascii="Segoe UI" w:hAnsi="Segoe UI" w:cs="Segoe UI"/>
          <w:sz w:val="21"/>
          <w:szCs w:val="21"/>
        </w:rPr>
        <w:br/>
      </w:r>
      <w:r>
        <w:rPr>
          <w:rFonts w:ascii="Segoe UI" w:hAnsi="Segoe UI" w:cs="Segoe UI"/>
          <w:sz w:val="21"/>
          <w:szCs w:val="21"/>
        </w:rPr>
        <w:t>烧取暖油的储水式，存量集中在美国东北部老房，新装几乎为零，结构性衰退，占比已不足</w:t>
      </w:r>
      <w:r>
        <w:rPr>
          <w:rFonts w:ascii="Segoe UI" w:hAnsi="Segoe UI" w:cs="Segoe UI"/>
          <w:sz w:val="21"/>
          <w:szCs w:val="21"/>
        </w:rPr>
        <w:t xml:space="preserve"> 1%</w:t>
      </w:r>
      <w:r>
        <w:rPr>
          <w:rFonts w:ascii="Segoe UI" w:hAnsi="Segoe UI" w:cs="Segoe UI"/>
          <w:sz w:val="21"/>
          <w:szCs w:val="21"/>
        </w:rPr>
        <w:t>。</w:t>
      </w:r>
    </w:p>
    <w:p w14:paraId="61FBA483" w14:textId="77777777" w:rsidR="00724250" w:rsidRDefault="00724250" w:rsidP="00DE68D5">
      <w:pPr>
        <w:pStyle w:val="ae"/>
        <w:shd w:val="clear" w:color="auto" w:fill="FFFFFF"/>
        <w:spacing w:before="180" w:beforeAutospacing="0" w:after="180" w:afterAutospacing="0"/>
        <w:rPr>
          <w:rFonts w:ascii="Segoe UI" w:hAnsi="Segoe UI" w:cs="Segoe UI"/>
          <w:sz w:val="21"/>
          <w:szCs w:val="21"/>
        </w:rPr>
      </w:pPr>
    </w:p>
    <w:p w14:paraId="238A3CA5" w14:textId="526B9EB8" w:rsidR="00874220" w:rsidRPr="00B9377B" w:rsidRDefault="00B9377B" w:rsidP="00B9377B">
      <w:pPr>
        <w:pStyle w:val="ae"/>
        <w:shd w:val="clear" w:color="auto" w:fill="FFFFFF"/>
        <w:spacing w:before="180" w:beforeAutospacing="0" w:after="180" w:afterAutospacing="0"/>
        <w:rPr>
          <w:rStyle w:val="af"/>
          <w:rFonts w:ascii="Segoe UI" w:hAnsi="Segoe UI" w:cs="Segoe UI"/>
          <w:sz w:val="21"/>
          <w:szCs w:val="21"/>
        </w:rPr>
      </w:pPr>
      <w:r>
        <w:rPr>
          <w:rStyle w:val="af"/>
          <w:rFonts w:ascii="Segoe UI" w:hAnsi="Segoe UI" w:cs="Segoe UI" w:hint="eastAsia"/>
          <w:sz w:val="21"/>
          <w:szCs w:val="21"/>
        </w:rPr>
        <w:t xml:space="preserve">3. </w:t>
      </w:r>
      <w:r w:rsidRPr="00B9377B">
        <w:rPr>
          <w:rStyle w:val="af"/>
          <w:rFonts w:ascii="Segoe UI" w:hAnsi="Segoe UI" w:cs="Segoe UI"/>
          <w:sz w:val="21"/>
          <w:szCs w:val="21"/>
        </w:rPr>
        <w:t>按终端市场</w:t>
      </w:r>
    </w:p>
    <w:p w14:paraId="465417F6" w14:textId="1B8EEB57" w:rsidR="00874220" w:rsidRDefault="00D35F87" w:rsidP="00CD0F89">
      <w:r w:rsidRPr="00D35F87">
        <w:rPr>
          <w:noProof/>
        </w:rPr>
        <w:drawing>
          <wp:inline distT="0" distB="0" distL="0" distR="0" wp14:anchorId="2BBCB478" wp14:editId="153EAE8E">
            <wp:extent cx="6645910" cy="2223770"/>
            <wp:effectExtent l="0" t="0" r="0" b="0"/>
            <wp:docPr id="1787206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06340" name=""/>
                    <pic:cNvPicPr/>
                  </pic:nvPicPr>
                  <pic:blipFill>
                    <a:blip r:embed="rId9"/>
                    <a:stretch>
                      <a:fillRect/>
                    </a:stretch>
                  </pic:blipFill>
                  <pic:spPr>
                    <a:xfrm>
                      <a:off x="0" y="0"/>
                      <a:ext cx="6645910" cy="2223770"/>
                    </a:xfrm>
                    <a:prstGeom prst="rect">
                      <a:avLst/>
                    </a:prstGeom>
                  </pic:spPr>
                </pic:pic>
              </a:graphicData>
            </a:graphic>
          </wp:inline>
        </w:drawing>
      </w:r>
    </w:p>
    <w:p w14:paraId="6A0C815C" w14:textId="743869A7" w:rsidR="007A23DC" w:rsidRDefault="007A23DC" w:rsidP="00031D82">
      <w:pPr>
        <w:pStyle w:val="4"/>
      </w:pPr>
      <w:r>
        <w:rPr>
          <w:rFonts w:hint="eastAsia"/>
        </w:rPr>
        <w:t>储水式</w:t>
      </w:r>
    </w:p>
    <w:p w14:paraId="79CEA24B" w14:textId="2E4CDB85" w:rsidR="006139F3" w:rsidRDefault="00495F6F">
      <w:r w:rsidRPr="00495F6F">
        <w:rPr>
          <w:rFonts w:hint="eastAsia"/>
          <w:b/>
          <w:bCs/>
        </w:rPr>
        <w:t>住宅</w:t>
      </w:r>
      <w:r w:rsidR="00430007">
        <w:rPr>
          <w:rFonts w:hint="eastAsia"/>
          <w:b/>
          <w:bCs/>
        </w:rPr>
        <w:t>市场</w:t>
      </w:r>
      <w:r w:rsidR="00C716C2" w:rsidRPr="002324D3">
        <w:rPr>
          <w:noProof/>
        </w:rPr>
        <w:drawing>
          <wp:inline distT="0" distB="0" distL="0" distR="0" wp14:anchorId="1AD3899E" wp14:editId="6292247E">
            <wp:extent cx="6645910" cy="3446780"/>
            <wp:effectExtent l="0" t="0" r="0" b="0"/>
            <wp:docPr id="111702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2598" name=""/>
                    <pic:cNvPicPr/>
                  </pic:nvPicPr>
                  <pic:blipFill>
                    <a:blip r:embed="rId10"/>
                    <a:stretch>
                      <a:fillRect/>
                    </a:stretch>
                  </pic:blipFill>
                  <pic:spPr>
                    <a:xfrm>
                      <a:off x="0" y="0"/>
                      <a:ext cx="6645910" cy="3446780"/>
                    </a:xfrm>
                    <a:prstGeom prst="rect">
                      <a:avLst/>
                    </a:prstGeom>
                  </pic:spPr>
                </pic:pic>
              </a:graphicData>
            </a:graphic>
          </wp:inline>
        </w:drawing>
      </w:r>
      <w:r w:rsidR="00415DA3" w:rsidRPr="00415DA3">
        <w:lastRenderedPageBreak/>
        <w:t>北美住宅储水式热水器市场是一个成熟、总量不增长的市场（约 920 万台/年），唯一的长期结构趋势是燃料电气化：电储水式在 2022 年首次反超燃气储水式，此后领先持续扩大，2024 年电首次突破 500 万台（燃气储水式 25 年来从未达到过 500 万）。这一交叉不是燃气向燃气无水箱的内部转移，而是真实的电气化（燃气无水箱进口量在 2021 年后未再增长，反而回落）。对 A.O. Smith 的含义直接：总量无增长，增长的唯一来源是份额、提价和商用/锅炉，而它历史上最强的燃气储水式正处在结构性下行的燃料上。</w:t>
      </w:r>
    </w:p>
    <w:p w14:paraId="5622B5B7" w14:textId="571FB9D2" w:rsidR="00B17808" w:rsidRPr="00B17808" w:rsidRDefault="00B17808">
      <w:pPr>
        <w:rPr>
          <w:b/>
          <w:bCs/>
        </w:rPr>
      </w:pPr>
      <w:r w:rsidRPr="00B17808">
        <w:rPr>
          <w:rFonts w:hint="eastAsia"/>
          <w:b/>
          <w:bCs/>
        </w:rPr>
        <w:t>商用</w:t>
      </w:r>
      <w:r w:rsidR="0034456E">
        <w:rPr>
          <w:rFonts w:hint="eastAsia"/>
          <w:b/>
          <w:bCs/>
        </w:rPr>
        <w:t>市场</w:t>
      </w:r>
    </w:p>
    <w:p w14:paraId="172852B0" w14:textId="0A60A569" w:rsidR="006139F3" w:rsidRDefault="00C60324">
      <w:r w:rsidRPr="00C60324">
        <w:rPr>
          <w:noProof/>
        </w:rPr>
        <w:drawing>
          <wp:inline distT="0" distB="0" distL="0" distR="0" wp14:anchorId="38B669D6" wp14:editId="215C51B3">
            <wp:extent cx="6645910" cy="3471545"/>
            <wp:effectExtent l="0" t="0" r="0" b="0"/>
            <wp:docPr id="546351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51820" name=""/>
                    <pic:cNvPicPr/>
                  </pic:nvPicPr>
                  <pic:blipFill>
                    <a:blip r:embed="rId11"/>
                    <a:stretch>
                      <a:fillRect/>
                    </a:stretch>
                  </pic:blipFill>
                  <pic:spPr>
                    <a:xfrm>
                      <a:off x="0" y="0"/>
                      <a:ext cx="6645910" cy="3471545"/>
                    </a:xfrm>
                    <a:prstGeom prst="rect">
                      <a:avLst/>
                    </a:prstGeom>
                  </pic:spPr>
                </pic:pic>
              </a:graphicData>
            </a:graphic>
          </wp:inline>
        </w:drawing>
      </w:r>
    </w:p>
    <w:p w14:paraId="00F684DD" w14:textId="77777777" w:rsidR="00495F6F" w:rsidRDefault="00495F6F" w:rsidP="00495F6F">
      <w:r>
        <w:t>规模极小但单值高：商用储水式仅约 25 万台/年（约为住宅的 2.7%），但对应 AOS 商用占北美水加热收入约 20%（2023 投资者日），单台价值约为住宅的 7 倍。</w:t>
      </w:r>
    </w:p>
    <w:p w14:paraId="0C53BDE6" w14:textId="77777777" w:rsidR="00495F6F" w:rsidRDefault="00495F6F" w:rsidP="00495F6F">
      <w:r>
        <w:t>电主导，且电气化比住宅更彻底：2025 年商用电 16.2 万台 vs 商用燃气 8.7 万台（约 65:35）。2001→2025，商用电从 4.65 万翻 3.5 倍到 16.2 万，商用燃气则从 9.4 万走平到 8.7 万。</w:t>
      </w:r>
    </w:p>
    <w:p w14:paraId="03A8C919" w14:textId="77777777" w:rsidR="00495F6F" w:rsidRDefault="00495F6F" w:rsidP="00495F6F">
      <w:r>
        <w:t>一个明确的监管拐点：2015→2016 商用电从 8.8 万跳到 12.7 万（+44%），对应 2015 年 4 月生效的 DOE 商用热水器能效规则。</w:t>
      </w:r>
    </w:p>
    <w:p w14:paraId="7E4CCDCD" w14:textId="77777777" w:rsidR="006139F3" w:rsidRDefault="006139F3"/>
    <w:p w14:paraId="453B6B69" w14:textId="5AC00F9A" w:rsidR="006139F3" w:rsidRDefault="00032EB5" w:rsidP="00031D82">
      <w:pPr>
        <w:pStyle w:val="4"/>
      </w:pPr>
      <w:r>
        <w:rPr>
          <w:rFonts w:hint="eastAsia"/>
        </w:rPr>
        <w:t>无水式</w:t>
      </w:r>
    </w:p>
    <w:p w14:paraId="431C6384" w14:textId="03C4AB64" w:rsidR="006139F3" w:rsidRDefault="006C61A6" w:rsidP="006139F3">
      <w:r w:rsidRPr="006C61A6">
        <w:t>只需单独看"燃气无水箱"一个品种，其余即热式可忽略。燃气无水箱约占燃气市场的 19–24%，是唯一能改变"电 vs 燃气"总量对比的遗漏项；电无水箱（&lt;5 万台）可忽略；热泵是储水式、已计入电类。</w:t>
      </w:r>
    </w:p>
    <w:p w14:paraId="623C08B5" w14:textId="1C11B0D6" w:rsidR="00E34807" w:rsidRDefault="00E34807" w:rsidP="006139F3">
      <w:r w:rsidRPr="00E34807">
        <w:rPr>
          <w:noProof/>
        </w:rPr>
        <w:lastRenderedPageBreak/>
        <w:drawing>
          <wp:inline distT="0" distB="0" distL="0" distR="0" wp14:anchorId="6DB9CA92" wp14:editId="5492A663">
            <wp:extent cx="6645910" cy="3162935"/>
            <wp:effectExtent l="0" t="0" r="0" b="0"/>
            <wp:docPr id="1319158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58732" name=""/>
                    <pic:cNvPicPr/>
                  </pic:nvPicPr>
                  <pic:blipFill>
                    <a:blip r:embed="rId12"/>
                    <a:stretch>
                      <a:fillRect/>
                    </a:stretch>
                  </pic:blipFill>
                  <pic:spPr>
                    <a:xfrm>
                      <a:off x="0" y="0"/>
                      <a:ext cx="6645910" cy="3162935"/>
                    </a:xfrm>
                    <a:prstGeom prst="rect">
                      <a:avLst/>
                    </a:prstGeom>
                  </pic:spPr>
                </pic:pic>
              </a:graphicData>
            </a:graphic>
          </wp:inline>
        </w:drawing>
      </w:r>
    </w:p>
    <w:p w14:paraId="332289A8" w14:textId="73B582DA" w:rsidR="006139F3" w:rsidRDefault="00376E17" w:rsidP="006139F3">
      <w:r w:rsidRPr="00376E17">
        <w:rPr>
          <w:b/>
          <w:bCs/>
        </w:rPr>
        <w:t>燃气无水箱走平，坐实了"真电气化"</w:t>
      </w:r>
      <w:r>
        <w:rPr>
          <w:rFonts w:hint="eastAsia"/>
        </w:rPr>
        <w:t>：</w:t>
      </w:r>
      <w:r w:rsidR="0091417D" w:rsidRPr="0091417D">
        <w:t>燃气储水式份额下滑加速发生在 2022 年之后；而燃气无水箱恰好在 2021 年见顶。如果燃气储水式的下滑是"用户从储水式换成无水箱"（燃气内部的升级），那么无水箱应该同步放量</w:t>
      </w:r>
      <w:r w:rsidR="0091417D">
        <w:rPr>
          <w:rFonts w:hint="eastAsia"/>
        </w:rPr>
        <w:t>。</w:t>
      </w:r>
    </w:p>
    <w:p w14:paraId="4F07CF8B" w14:textId="77777777" w:rsidR="006139F3" w:rsidRDefault="006139F3" w:rsidP="006139F3"/>
    <w:p w14:paraId="04D0B92B" w14:textId="181B4F86" w:rsidR="00604C96" w:rsidRPr="00604C96" w:rsidRDefault="00604C96" w:rsidP="00604C96">
      <w:pPr>
        <w:pStyle w:val="a9"/>
        <w:numPr>
          <w:ilvl w:val="0"/>
          <w:numId w:val="8"/>
        </w:numPr>
        <w:rPr>
          <w:b/>
          <w:bCs/>
        </w:rPr>
      </w:pPr>
      <w:r w:rsidRPr="00604C96">
        <w:rPr>
          <w:rFonts w:hint="eastAsia"/>
          <w:b/>
          <w:bCs/>
        </w:rPr>
        <w:t>单价</w:t>
      </w:r>
    </w:p>
    <w:p w14:paraId="2F300BCF" w14:textId="120C737F" w:rsidR="00604C96" w:rsidRDefault="00486F36" w:rsidP="006139F3">
      <w:r w:rsidRPr="00486F36">
        <w:drawing>
          <wp:inline distT="0" distB="0" distL="0" distR="0" wp14:anchorId="02B7865D" wp14:editId="2B4B4593">
            <wp:extent cx="6645910" cy="1847215"/>
            <wp:effectExtent l="0" t="0" r="0" b="0"/>
            <wp:docPr id="500766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66169" name=""/>
                    <pic:cNvPicPr/>
                  </pic:nvPicPr>
                  <pic:blipFill>
                    <a:blip r:embed="rId13"/>
                    <a:stretch>
                      <a:fillRect/>
                    </a:stretch>
                  </pic:blipFill>
                  <pic:spPr>
                    <a:xfrm>
                      <a:off x="0" y="0"/>
                      <a:ext cx="6645910" cy="1847215"/>
                    </a:xfrm>
                    <a:prstGeom prst="rect">
                      <a:avLst/>
                    </a:prstGeom>
                  </pic:spPr>
                </pic:pic>
              </a:graphicData>
            </a:graphic>
          </wp:inline>
        </w:drawing>
      </w:r>
    </w:p>
    <w:p w14:paraId="69CDA088" w14:textId="7343D61E" w:rsidR="00604C96" w:rsidRDefault="008803D0" w:rsidP="006139F3">
      <w:r w:rsidRPr="008803D0">
        <w:drawing>
          <wp:inline distT="0" distB="0" distL="0" distR="0" wp14:anchorId="0C7A250D" wp14:editId="08D7B91C">
            <wp:extent cx="6645910" cy="2275205"/>
            <wp:effectExtent l="0" t="0" r="0" b="0"/>
            <wp:docPr id="1155123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23230" name=""/>
                    <pic:cNvPicPr/>
                  </pic:nvPicPr>
                  <pic:blipFill>
                    <a:blip r:embed="rId14"/>
                    <a:stretch>
                      <a:fillRect/>
                    </a:stretch>
                  </pic:blipFill>
                  <pic:spPr>
                    <a:xfrm>
                      <a:off x="0" y="0"/>
                      <a:ext cx="6645910" cy="2275205"/>
                    </a:xfrm>
                    <a:prstGeom prst="rect">
                      <a:avLst/>
                    </a:prstGeom>
                  </pic:spPr>
                </pic:pic>
              </a:graphicData>
            </a:graphic>
          </wp:inline>
        </w:drawing>
      </w:r>
    </w:p>
    <w:p w14:paraId="292692E9" w14:textId="6780A40C" w:rsidR="00604C96" w:rsidRDefault="00D35828" w:rsidP="006139F3">
      <w:pPr>
        <w:rPr>
          <w:rFonts w:hint="eastAsia"/>
        </w:rPr>
      </w:pPr>
      <w:r>
        <w:rPr>
          <w:rFonts w:hint="eastAsia"/>
        </w:rPr>
        <w:t>注意</w:t>
      </w:r>
      <w:r w:rsidRPr="00D35828">
        <w:t>零售价 ≠ 渠道真实成交价</w:t>
      </w:r>
      <w:r>
        <w:rPr>
          <w:rFonts w:hint="eastAsia"/>
        </w:rPr>
        <w:t>，</w:t>
      </w:r>
    </w:p>
    <w:p w14:paraId="36479AE1" w14:textId="77777777" w:rsidR="00D35828" w:rsidRDefault="00D35828" w:rsidP="00031D82">
      <w:pPr>
        <w:pStyle w:val="4"/>
      </w:pPr>
    </w:p>
    <w:p w14:paraId="79B1D558" w14:textId="4D2241EA" w:rsidR="006139F3" w:rsidRDefault="002A25D4" w:rsidP="00031D82">
      <w:pPr>
        <w:pStyle w:val="4"/>
      </w:pPr>
      <w:r>
        <w:rPr>
          <w:rFonts w:hint="eastAsia"/>
        </w:rPr>
        <w:t>结论</w:t>
      </w:r>
    </w:p>
    <w:p w14:paraId="00E8680B" w14:textId="63FAA87B" w:rsidR="002A25D4" w:rsidRPr="002A25D4" w:rsidRDefault="002A25D4" w:rsidP="002A25D4">
      <w:pPr>
        <w:pStyle w:val="a9"/>
        <w:numPr>
          <w:ilvl w:val="0"/>
          <w:numId w:val="8"/>
        </w:numPr>
        <w:rPr>
          <w:b/>
          <w:bCs/>
        </w:rPr>
      </w:pPr>
      <w:r w:rsidRPr="002A25D4">
        <w:rPr>
          <w:rFonts w:hint="eastAsia"/>
          <w:b/>
          <w:bCs/>
        </w:rPr>
        <w:t>总量</w:t>
      </w:r>
    </w:p>
    <w:p w14:paraId="3652869B" w14:textId="152D2B72" w:rsidR="006139F3" w:rsidRPr="006C61A6" w:rsidRDefault="003E1C1D" w:rsidP="006139F3">
      <w:r w:rsidRPr="003E1C1D">
        <w:t>北美住宅储水式热水器没有真实的趋势性增长，2020-2023 的波动是疫情囤货→去库存的库存周期，不是需求扩容。这与美国新建住宅开工量的走势相互印证——Census/NAHB 数据显示开工量从 2021 年 160.1 万套的高点，连续四年下滑到 2025 年 135.7 万套，AOS 自己也在多份 10-K 中把"新建住宅持续处于赤字状态"列为北美收入的结构性拖累，而非周期性因素</w:t>
      </w:r>
      <w:r w:rsidR="00870F52" w:rsidRPr="00870F52">
        <w:t>。</w:t>
      </w:r>
    </w:p>
    <w:p w14:paraId="1702C8E5" w14:textId="1961AAEA" w:rsidR="006139F3" w:rsidRDefault="00E5206A" w:rsidP="006139F3">
      <w:r w:rsidRPr="00E5206A">
        <w:rPr>
          <w:noProof/>
        </w:rPr>
        <w:drawing>
          <wp:inline distT="0" distB="0" distL="0" distR="0" wp14:anchorId="52E68DE7" wp14:editId="1C493D41">
            <wp:extent cx="5723467" cy="3103994"/>
            <wp:effectExtent l="0" t="0" r="4445" b="0"/>
            <wp:docPr id="1484725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25169" name=""/>
                    <pic:cNvPicPr/>
                  </pic:nvPicPr>
                  <pic:blipFill>
                    <a:blip r:embed="rId15"/>
                    <a:stretch>
                      <a:fillRect/>
                    </a:stretch>
                  </pic:blipFill>
                  <pic:spPr>
                    <a:xfrm>
                      <a:off x="0" y="0"/>
                      <a:ext cx="5730658" cy="3107894"/>
                    </a:xfrm>
                    <a:prstGeom prst="rect">
                      <a:avLst/>
                    </a:prstGeom>
                  </pic:spPr>
                </pic:pic>
              </a:graphicData>
            </a:graphic>
          </wp:inline>
        </w:drawing>
      </w:r>
    </w:p>
    <w:p w14:paraId="60E1B1D6" w14:textId="70BC041B" w:rsidR="006139F3" w:rsidRPr="00283CA8" w:rsidRDefault="00283CA8" w:rsidP="00283CA8">
      <w:pPr>
        <w:pStyle w:val="a9"/>
        <w:numPr>
          <w:ilvl w:val="0"/>
          <w:numId w:val="8"/>
        </w:numPr>
        <w:rPr>
          <w:b/>
          <w:bCs/>
        </w:rPr>
      </w:pPr>
      <w:r w:rsidRPr="00283CA8">
        <w:rPr>
          <w:rFonts w:hint="eastAsia"/>
          <w:b/>
          <w:bCs/>
        </w:rPr>
        <w:t>结构变量</w:t>
      </w:r>
    </w:p>
    <w:p w14:paraId="7C5191C5" w14:textId="24BA5790" w:rsidR="005871B9" w:rsidRDefault="00624EAA" w:rsidP="006139F3">
      <w:r w:rsidRPr="00624EAA">
        <w:t>北美热水器需求的第一性变量不是"要不要装热水器"（这部分靠折损率驱动、基本稳定），而是"装哪种燃料"。这个迁移是真实的、持续加速的，且不依赖总量增长即可重塑收入结构——对以燃气储水式起家、传统上燃气产品占比更高的 AOS 是结构性的品类组合压力，而不只是价格弹性问题。</w:t>
      </w:r>
    </w:p>
    <w:p w14:paraId="2F1C66EF" w14:textId="77777777" w:rsidR="00283CA8" w:rsidRDefault="00283CA8" w:rsidP="006139F3"/>
    <w:p w14:paraId="6438716D" w14:textId="3D893743" w:rsidR="00624EAA" w:rsidRPr="00624EAA" w:rsidRDefault="00624EAA" w:rsidP="00624EAA">
      <w:pPr>
        <w:pStyle w:val="a9"/>
        <w:numPr>
          <w:ilvl w:val="0"/>
          <w:numId w:val="8"/>
        </w:numPr>
        <w:rPr>
          <w:b/>
          <w:bCs/>
        </w:rPr>
      </w:pPr>
      <w:r w:rsidRPr="00624EAA">
        <w:rPr>
          <w:rFonts w:hint="eastAsia"/>
          <w:b/>
          <w:bCs/>
        </w:rPr>
        <w:t>监管</w:t>
      </w:r>
    </w:p>
    <w:p w14:paraId="479BB5BB" w14:textId="4C156FE4" w:rsidR="00923FD0" w:rsidRDefault="00923FD0" w:rsidP="00923FD0">
      <w:pPr>
        <w:rPr>
          <w:rFonts w:hint="eastAsia"/>
        </w:rPr>
      </w:pPr>
      <w:r>
        <w:t>行业量能的几次明显跳变都能追溯到 DOE 能效新规生效节点，而不是自然需求波动：</w:t>
      </w:r>
    </w:p>
    <w:p w14:paraId="3B97A6D8" w14:textId="77777777" w:rsidR="00923FD0" w:rsidRDefault="00923FD0" w:rsidP="00923FD0">
      <w:pPr>
        <w:pStyle w:val="a9"/>
        <w:numPr>
          <w:ilvl w:val="0"/>
          <w:numId w:val="6"/>
        </w:numPr>
      </w:pPr>
      <w:r>
        <w:t>2015 年 4 月 DOE 商用热水器能效新规生效，直接推高了随后的商用电热水器出货。</w:t>
      </w:r>
    </w:p>
    <w:p w14:paraId="75389D4E" w14:textId="4795777A" w:rsidR="00624EAA" w:rsidRDefault="00923FD0" w:rsidP="00923FD0">
      <w:pPr>
        <w:pStyle w:val="a9"/>
        <w:numPr>
          <w:ilvl w:val="0"/>
          <w:numId w:val="6"/>
        </w:numPr>
      </w:pPr>
      <w:r>
        <w:t>2023 年 10 月 6 日，DOE 发布商用热水器最终规则：2026 年 10 月 6 日起，商用燃气储水式热水器须满足 95% 热效率（现行标准仅 80%），事实上等于强制转向冷凝式产品；商用即热式/容积式热水锅炉须达到 96%。电商用热水器不受影响。</w:t>
      </w:r>
    </w:p>
    <w:p w14:paraId="5931D40C" w14:textId="77777777" w:rsidR="007307A9" w:rsidRDefault="007307A9" w:rsidP="007307A9">
      <w:pPr>
        <w:pStyle w:val="a9"/>
        <w:numPr>
          <w:ilvl w:val="0"/>
          <w:numId w:val="6"/>
        </w:numPr>
      </w:pPr>
      <w:r>
        <w:t>2029 年 5 月 6 日，新一轮住宅热水器能效标准生效，大幅提高电热水器能效门槛，行业普遍预期这会进一步把需求推向热泵（部分机构预测十年内 HPWH 可能成为电类主流）。</w:t>
      </w:r>
    </w:p>
    <w:p w14:paraId="0176A3A9" w14:textId="22F48559" w:rsidR="00624EAA" w:rsidRDefault="0000007C" w:rsidP="006139F3">
      <w:pPr>
        <w:rPr>
          <w:rFonts w:hint="eastAsia"/>
        </w:rPr>
      </w:pPr>
      <w:r>
        <w:rPr>
          <w:rFonts w:hint="eastAsia"/>
        </w:rPr>
        <w:t>年报中披露</w:t>
      </w:r>
      <w:r w:rsidRPr="0000007C">
        <w:t>"预计 2026 年商用增长受益于新规实施前的抢装"</w:t>
      </w:r>
      <w:r w:rsidR="007D5D13">
        <w:rPr>
          <w:rFonts w:hint="eastAsia"/>
        </w:rPr>
        <w:t>。</w:t>
      </w:r>
      <w:r w:rsidR="007D5D13" w:rsidRPr="007D5D13">
        <w:t>DOE 已于 2026 年 4 月 24 日发布执法裁量声明，将该商用新规的强制执行延后一年，至 2027 年 10 月 6 日（标准本身不变，但在此之前不会追究认证/合规处罚）。如果这一延期属实且持续有效，AOS 在最新 10-K 里对"2026 年商用热水器行业增长中</w:t>
      </w:r>
      <w:r w:rsidR="007D5D13" w:rsidRPr="007D5D13">
        <w:lastRenderedPageBreak/>
        <w:t>个位数、主要来自新规前抢装"的展望，其驱动力可能被削弱或推迟到 2027 年</w:t>
      </w:r>
      <w:r w:rsidR="007D5D13">
        <w:rPr>
          <w:rFonts w:hint="eastAsia"/>
        </w:rPr>
        <w:t>。</w:t>
      </w:r>
    </w:p>
    <w:p w14:paraId="2E0B4DC8" w14:textId="77777777" w:rsidR="0000007C" w:rsidRDefault="0000007C" w:rsidP="006139F3">
      <w:pPr>
        <w:rPr>
          <w:rFonts w:hint="eastAsia"/>
        </w:rPr>
      </w:pPr>
    </w:p>
    <w:p w14:paraId="49DD5F0F" w14:textId="29D11E1D" w:rsidR="005871B9" w:rsidRDefault="005871B9" w:rsidP="00255924">
      <w:pPr>
        <w:pStyle w:val="3"/>
      </w:pPr>
      <w:r>
        <w:rPr>
          <w:rFonts w:hint="eastAsia"/>
        </w:rPr>
        <w:t>供给</w:t>
      </w:r>
    </w:p>
    <w:p w14:paraId="7DC1A893" w14:textId="18463483" w:rsidR="0076182B" w:rsidRDefault="00255924" w:rsidP="00255924">
      <w:pPr>
        <w:pStyle w:val="4"/>
      </w:pPr>
      <w:r>
        <w:rPr>
          <w:rFonts w:hint="eastAsia"/>
        </w:rPr>
        <w:t>供给结构</w:t>
      </w:r>
    </w:p>
    <w:p w14:paraId="481FA0FE" w14:textId="77777777" w:rsidR="007A0F80" w:rsidRDefault="007A0F80" w:rsidP="006139F3">
      <w:r>
        <w:t>高度集中的双寡头市场，不是充分竞争行业</w:t>
      </w:r>
      <w:r>
        <w:rPr>
          <w:rFonts w:hint="eastAsia"/>
        </w:rPr>
        <w:t>。</w:t>
      </w:r>
    </w:p>
    <w:p w14:paraId="35C358AA" w14:textId="35458C2E" w:rsidR="0076182B" w:rsidRDefault="00B127DB" w:rsidP="006139F3">
      <w:r w:rsidRPr="00B127DB">
        <w:t>行业研究机构对 2024 年北美住宅热水器市场的估计是：AOS、Rheem、Bradford White、Bosch、Rinnai 五家合计约占 65% 份额，其中 AOS 与 Rheem 是明确的两强。</w:t>
      </w:r>
    </w:p>
    <w:p w14:paraId="7047C8C5" w14:textId="4FF7EFFA" w:rsidR="00B127DB" w:rsidRDefault="00B127DB" w:rsidP="00B127DB">
      <w:pPr>
        <w:pStyle w:val="a9"/>
        <w:numPr>
          <w:ilvl w:val="0"/>
          <w:numId w:val="11"/>
        </w:numPr>
      </w:pPr>
      <w:r>
        <w:t>A.O. Smith：上市公司，Smith 家族投票信托仍持有约 67.8% 合并投票权。</w:t>
      </w:r>
    </w:p>
    <w:p w14:paraId="0CEE1353" w14:textId="75BE3005" w:rsidR="00B127DB" w:rsidRDefault="00B127DB" w:rsidP="00B127DB">
      <w:pPr>
        <w:pStyle w:val="a9"/>
        <w:numPr>
          <w:ilvl w:val="0"/>
          <w:numId w:val="11"/>
        </w:numPr>
      </w:pPr>
      <w:r>
        <w:t>Rheem：1988 年起是日本 Paloma Industries（名古屋，Kobayashi 家族控制）的全资子公司，非上市。</w:t>
      </w:r>
    </w:p>
    <w:p w14:paraId="4483EA25" w14:textId="440F6598" w:rsidR="00B127DB" w:rsidRDefault="00B127DB" w:rsidP="00B127DB">
      <w:pPr>
        <w:pStyle w:val="a9"/>
        <w:numPr>
          <w:ilvl w:val="0"/>
          <w:numId w:val="11"/>
        </w:numPr>
        <w:rPr>
          <w:rFonts w:hint="eastAsia"/>
        </w:rPr>
      </w:pPr>
      <w:r>
        <w:t>Bradford White：员工持股（ESOP）公司，完全不对外部投资人负责，且刻意选择只通过持牌管道工/批发渠道销售，不进大型零售，与 AOS、Rheem 的多渠道打法形成结构性区隔。</w:t>
      </w:r>
    </w:p>
    <w:p w14:paraId="3B81035F" w14:textId="6980D900" w:rsidR="0076182B" w:rsidRDefault="00B127DB" w:rsidP="00B127DB">
      <w:r>
        <w:t>这意味着行业里没有出现"私募杠杆收购—财务化整合"式的供给侧冲击，三家主要竞争对手的资本结构决定了它们的竞争行为更偏长期产能/渠道投入，而非短期市占率争夺。</w:t>
      </w:r>
    </w:p>
    <w:p w14:paraId="2CAC5365" w14:textId="23110BEF" w:rsidR="0076182B" w:rsidRPr="004B7CB8" w:rsidRDefault="004B7CB8" w:rsidP="004B7CB8">
      <w:pPr>
        <w:pStyle w:val="4"/>
      </w:pPr>
      <w:r>
        <w:rPr>
          <w:rFonts w:hint="eastAsia"/>
        </w:rPr>
        <w:t>制造布局</w:t>
      </w:r>
    </w:p>
    <w:p w14:paraId="55284B80" w14:textId="1034E5DB" w:rsidR="0076182B" w:rsidRDefault="007E1A79" w:rsidP="006139F3">
      <w:pPr>
        <w:rPr>
          <w:rFonts w:hint="eastAsia"/>
        </w:rPr>
      </w:pPr>
      <w:r w:rsidRPr="007E1A79">
        <w:t>产能高度本土化</w:t>
      </w:r>
      <w:r>
        <w:rPr>
          <w:rFonts w:hint="eastAsia"/>
        </w:rPr>
        <w:t>。</w:t>
      </w:r>
    </w:p>
    <w:p w14:paraId="575C0027" w14:textId="77777777" w:rsidR="007E1A79" w:rsidRDefault="007E1A79" w:rsidP="007E1A79">
      <w:r>
        <w:t>AOS 自己在北美有 23 座制造/组装工厂，分布在 13 个州和 2 个非美国国家（18 座自有、5 座租赁）；竞争对手的核心产能同样以北美本土为主——Rheem 的主力热水器工厂在阿拉巴马州 Montgomery（1972 年投产至今，声称是全球最大热水器制造商），另在墨西哥 Nuevo Laredo 有产能；Bradford White 更极端，三座工厂（密歇根 Middleville、密歇根 Niles、新罕布什尔 Rochester）全部在美国本土，公开宣传"零墨西哥产能"作为差异化卖点。</w:t>
      </w:r>
    </w:p>
    <w:p w14:paraId="48E8BB07" w14:textId="1A82662F" w:rsidR="0076182B" w:rsidRDefault="007E1A79" w:rsidP="007E1A79">
      <w:r>
        <w:t>这个行业的供给侧冲击不是关税直接打在整机进口上（成品热水器本身很少跨境长途进口——重、易碎、运费占比高，本地产本地销是行业常态），而是打在上游钢材/铝材这个共同投入品上。也就是说，无论哪家厂商在哪里组装，几乎都逃不开同一个成本冲击源。</w:t>
      </w:r>
    </w:p>
    <w:p w14:paraId="1307D9F1" w14:textId="640EEA07" w:rsidR="0076182B" w:rsidRDefault="00CD7913" w:rsidP="00CD7913">
      <w:pPr>
        <w:pStyle w:val="4"/>
      </w:pPr>
      <w:r>
        <w:rPr>
          <w:rFonts w:hint="eastAsia"/>
        </w:rPr>
        <w:t>成本结构</w:t>
      </w:r>
    </w:p>
    <w:p w14:paraId="61E5A168" w14:textId="51536955" w:rsidR="0076182B" w:rsidRDefault="00E179B2" w:rsidP="006139F3">
      <w:pPr>
        <w:rPr>
          <w:rFonts w:hint="eastAsia"/>
        </w:rPr>
      </w:pPr>
      <w:r w:rsidRPr="00E179B2">
        <w:t>钢铁是唯一的核心变量</w:t>
      </w:r>
      <w:r>
        <w:rPr>
          <w:rFonts w:hint="eastAsia"/>
        </w:rPr>
        <w:t>。</w:t>
      </w:r>
    </w:p>
    <w:p w14:paraId="3396A4DB" w14:textId="4C1847BF" w:rsidR="0076182B" w:rsidRDefault="00E179B2" w:rsidP="006139F3">
      <w:r>
        <w:rPr>
          <w:rFonts w:hint="eastAsia"/>
        </w:rPr>
        <w:t>1</w:t>
      </w:r>
      <w:r w:rsidRPr="00E179B2">
        <w:t>0-K原文："原材料主要是钢铁，供应通常充足；部分客户合同约定按钢价波动调整价格；近年钢材成本波动加大；关税进一步放大了原材料价格的波动性。"</w:t>
      </w:r>
    </w:p>
    <w:p w14:paraId="7F86CF74" w14:textId="23109E81" w:rsidR="0000312A" w:rsidRPr="0000312A" w:rsidRDefault="0000312A" w:rsidP="0000312A">
      <w:pPr>
        <w:rPr>
          <w:rFonts w:hint="eastAsia"/>
        </w:rPr>
      </w:pPr>
      <w:r>
        <w:rPr>
          <w:rFonts w:hint="eastAsia"/>
        </w:rPr>
        <w:t>2</w:t>
      </w:r>
      <w:r>
        <w:t>025 年的关税升级是全行业共同承受的冲击：</w:t>
      </w:r>
    </w:p>
    <w:p w14:paraId="71D18A53" w14:textId="77777777" w:rsidR="0000312A" w:rsidRDefault="0000312A" w:rsidP="0000312A">
      <w:pPr>
        <w:pStyle w:val="a9"/>
        <w:numPr>
          <w:ilvl w:val="0"/>
          <w:numId w:val="12"/>
        </w:numPr>
      </w:pPr>
      <w:r>
        <w:t>2025 年 3 月 12 日：进口钢铁关税恢复至 25%，铝材关税从 10% 上调至 25%；</w:t>
      </w:r>
    </w:p>
    <w:p w14:paraId="0EB495A8" w14:textId="77777777" w:rsidR="0000312A" w:rsidRDefault="0000312A" w:rsidP="0000312A">
      <w:pPr>
        <w:pStyle w:val="a9"/>
        <w:numPr>
          <w:ilvl w:val="0"/>
          <w:numId w:val="12"/>
        </w:numPr>
      </w:pPr>
      <w:r>
        <w:t>2025 年 6 月 4 日：钢铝关税从 25% 翻倍到 50%；</w:t>
      </w:r>
    </w:p>
    <w:p w14:paraId="40DDF91E" w14:textId="77777777" w:rsidR="0000312A" w:rsidRDefault="0000312A" w:rsidP="0000312A">
      <w:pPr>
        <w:pStyle w:val="a9"/>
        <w:numPr>
          <w:ilvl w:val="0"/>
          <w:numId w:val="12"/>
        </w:numPr>
      </w:pPr>
      <w:r>
        <w:t>2025 年 8 月：BIS 将 407 个新增 HTSUS 编码纳入"钢铝衍生品"关税范围，热水器所用的钢制部件被明确点名在行业申请扩大关税覆盖的清单中；</w:t>
      </w:r>
    </w:p>
    <w:p w14:paraId="49CB8157" w14:textId="1EAAB863" w:rsidR="00EA3F2B" w:rsidRDefault="0000312A" w:rsidP="0000312A">
      <w:pPr>
        <w:pStyle w:val="a9"/>
        <w:numPr>
          <w:ilvl w:val="0"/>
          <w:numId w:val="12"/>
        </w:numPr>
      </w:pPr>
      <w:r>
        <w:lastRenderedPageBreak/>
        <w:t>到 2026 年 4 月才出现部分缓解（对美国本土钢铝含量≥95%的衍生品关税降至 10%，部分工业/电网设备品类降至 15%，但热水器是否适用尚不明确）。</w:t>
      </w:r>
    </w:p>
    <w:p w14:paraId="3C252597" w14:textId="3FCDB118" w:rsidR="00EA3F2B" w:rsidRDefault="00AD27C3" w:rsidP="006139F3">
      <w:r w:rsidRPr="00AD27C3">
        <w:t>这解释了AOS 2025 年上半年对"大多数热水器和锅炉产品"提价、并在</w:t>
      </w:r>
      <w:r>
        <w:rPr>
          <w:rFonts w:hint="eastAsia"/>
        </w:rPr>
        <w:t>10K</w:t>
      </w:r>
      <w:r w:rsidRPr="00AD27C3">
        <w:t>中反复强调"通过产能布局优化、战略采购缓解关税影响"的直接动因——这不是 AOS 单方面的定价决策，而是整个双寡头行业在同一个成本冲击下的集体涨价窗口，因为 Rheem、Bradford White 面对的是完全相同的钢铝成本曲线。在这种结构下，涨价的可信度和协同性反而更高：没有一个"低成本进口替代者"能在这个冲击里保持价格不动，因为这个行业本来就没有实质性的低价进口供给（不像家电、家具那样有大量东南亚代工产能可以绕开美国关税）。</w:t>
      </w:r>
    </w:p>
    <w:p w14:paraId="7C963257" w14:textId="6E5239A7" w:rsidR="00EA3F2B" w:rsidRDefault="007C0394" w:rsidP="007C0394">
      <w:pPr>
        <w:pStyle w:val="4"/>
        <w:rPr>
          <w:rFonts w:hint="eastAsia"/>
        </w:rPr>
      </w:pPr>
      <w:r>
        <w:rPr>
          <w:rFonts w:hint="eastAsia"/>
        </w:rPr>
        <w:t>刚性产能</w:t>
      </w:r>
    </w:p>
    <w:p w14:paraId="689BE5BA" w14:textId="141A289A" w:rsidR="003F5D36" w:rsidRDefault="003F5D36" w:rsidP="003F5D36">
      <w:pPr>
        <w:rPr>
          <w:rFonts w:hint="eastAsia"/>
        </w:rPr>
      </w:pPr>
      <w:r>
        <w:t>这个行业"没有显著备货"（10-K原文："由于业务短周期特性，我们的经营通常不会维持重大积压订单"），理论上供给应该能较快跟上需求波动。但 2020-2022 的实际情况显示产能弹性其实很差：</w:t>
      </w:r>
    </w:p>
    <w:p w14:paraId="3FC8FD24" w14:textId="77777777" w:rsidR="003F5D36" w:rsidRDefault="003F5D36" w:rsidP="003F5D36">
      <w:pPr>
        <w:pStyle w:val="a9"/>
        <w:numPr>
          <w:ilvl w:val="0"/>
          <w:numId w:val="13"/>
        </w:numPr>
      </w:pPr>
      <w:r>
        <w:t>2020 年疫情居家需求激增，行业普遍出现交期拉长，AOS 自己在 FY2020 10-K 中承认"客户可能因为行业交期延长而在 2020 年增加了库存"；</w:t>
      </w:r>
    </w:p>
    <w:p w14:paraId="1CA42F7D" w14:textId="77777777" w:rsidR="003F5D36" w:rsidRDefault="003F5D36" w:rsidP="003F5D36">
      <w:pPr>
        <w:pStyle w:val="a9"/>
        <w:numPr>
          <w:ilvl w:val="0"/>
          <w:numId w:val="13"/>
        </w:numPr>
      </w:pPr>
      <w:r>
        <w:t>这个交期拉长不是 AOS 一家的问题——短周期、无库存缓冲的行业结构决定了任何一次需求脉冲都会立刻传导成交期问题，而不是靠库存消化；</w:t>
      </w:r>
    </w:p>
    <w:p w14:paraId="4A85C4AF" w14:textId="4098ECA5" w:rsidR="00552F65" w:rsidRDefault="003F5D36" w:rsidP="006139F3">
      <w:pPr>
        <w:pStyle w:val="a9"/>
        <w:numPr>
          <w:ilvl w:val="0"/>
          <w:numId w:val="13"/>
        </w:numPr>
      </w:pPr>
      <w:r>
        <w:t>2022 年三季度渠道去库存导致行业需求同比骤降 12%，本质上是 2020-2021 供给跟不上需求时客户被迫囤货、随后供给恢复正常后集中去库存——一次由供给刚性引发、而非真实需求下滑引发的伪周期。</w:t>
      </w:r>
    </w:p>
    <w:p w14:paraId="6C938540" w14:textId="7649354D" w:rsidR="00D6187A" w:rsidRDefault="00D6187A" w:rsidP="00D6187A">
      <w:r w:rsidRPr="00D6187A">
        <w:lastRenderedPageBreak/>
        <w:drawing>
          <wp:inline distT="0" distB="0" distL="0" distR="0" wp14:anchorId="718EB2BF" wp14:editId="390D0DBD">
            <wp:extent cx="6645910" cy="6217920"/>
            <wp:effectExtent l="0" t="0" r="0" b="5080"/>
            <wp:docPr id="1584488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88581" name=""/>
                    <pic:cNvPicPr/>
                  </pic:nvPicPr>
                  <pic:blipFill>
                    <a:blip r:embed="rId16"/>
                    <a:stretch>
                      <a:fillRect/>
                    </a:stretch>
                  </pic:blipFill>
                  <pic:spPr>
                    <a:xfrm>
                      <a:off x="0" y="0"/>
                      <a:ext cx="6645910" cy="6217920"/>
                    </a:xfrm>
                    <a:prstGeom prst="rect">
                      <a:avLst/>
                    </a:prstGeom>
                  </pic:spPr>
                </pic:pic>
              </a:graphicData>
            </a:graphic>
          </wp:inline>
        </w:drawing>
      </w:r>
    </w:p>
    <w:p w14:paraId="24EA109C" w14:textId="77777777" w:rsidR="00D6187A" w:rsidRDefault="00D6187A" w:rsidP="00D6187A">
      <w:pPr>
        <w:rPr>
          <w:rFonts w:hint="eastAsia"/>
        </w:rPr>
      </w:pPr>
    </w:p>
    <w:p w14:paraId="46C73493" w14:textId="26C47C66" w:rsidR="00552F65" w:rsidRDefault="001A4A0F" w:rsidP="001A4A0F">
      <w:pPr>
        <w:pStyle w:val="4"/>
      </w:pPr>
      <w:r>
        <w:rPr>
          <w:rFonts w:hint="eastAsia"/>
        </w:rPr>
        <w:t>结论</w:t>
      </w:r>
    </w:p>
    <w:p w14:paraId="14FC214D" w14:textId="1876CC09" w:rsidR="00552F65" w:rsidRDefault="005E73FD" w:rsidP="006139F3">
      <w:pPr>
        <w:rPr>
          <w:rFonts w:hint="eastAsia"/>
        </w:rPr>
      </w:pPr>
      <w:r w:rsidRPr="005E73FD">
        <w:t>供给侧的三个结构性事实，决定了这是一个"提价能力"而非"抢份额"的行业</w:t>
      </w:r>
      <w:r>
        <w:rPr>
          <w:rFonts w:hint="eastAsia"/>
        </w:rPr>
        <w:t>。</w:t>
      </w:r>
    </w:p>
    <w:p w14:paraId="4D120A2D" w14:textId="20A49F6C" w:rsidR="006A4549" w:rsidRDefault="006A4549" w:rsidP="006A4549">
      <w:pPr>
        <w:pStyle w:val="a9"/>
        <w:numPr>
          <w:ilvl w:val="0"/>
          <w:numId w:val="14"/>
        </w:numPr>
      </w:pPr>
      <w:r w:rsidRPr="006A4549">
        <w:rPr>
          <w:b/>
          <w:bCs/>
        </w:rPr>
        <w:t>集中度高、格局稳定十五年以上</w:t>
      </w:r>
      <w:r>
        <w:t>：双寡头（AOS + Rheem）加一个稳定的第三名（Bradford White），股权结构分散（上市公司/日资私人企业/员工持股），没有 PE 整合驱动的价格战风险。</w:t>
      </w:r>
    </w:p>
    <w:p w14:paraId="481D3098" w14:textId="54E60634" w:rsidR="006A4549" w:rsidRDefault="006A4549" w:rsidP="006A4549">
      <w:pPr>
        <w:pStyle w:val="a9"/>
        <w:numPr>
          <w:ilvl w:val="0"/>
          <w:numId w:val="14"/>
        </w:numPr>
      </w:pPr>
      <w:r w:rsidRPr="006A4549">
        <w:rPr>
          <w:b/>
          <w:bCs/>
        </w:rPr>
        <w:t>产能本土化，成本冲击来自共同的上游钢铝投入，而非彼此之间的进口替代竞争</w:t>
      </w:r>
      <w:r>
        <w:t>——这解释了为什么 2025 年的关税成本能够被整个行业同步转嫁，而不是被低价进口者套利掉。</w:t>
      </w:r>
    </w:p>
    <w:p w14:paraId="49E85877" w14:textId="4A311024" w:rsidR="00552F65" w:rsidRDefault="006A4549" w:rsidP="006A4549">
      <w:pPr>
        <w:pStyle w:val="a9"/>
        <w:numPr>
          <w:ilvl w:val="0"/>
          <w:numId w:val="14"/>
        </w:numPr>
        <w:rPr>
          <w:rFonts w:hint="eastAsia"/>
        </w:rPr>
      </w:pPr>
      <w:r w:rsidRPr="006A4549">
        <w:rPr>
          <w:b/>
          <w:bCs/>
        </w:rPr>
        <w:t>无备货缓冲的短周期制造模式</w:t>
      </w:r>
      <w:r>
        <w:t>，使得任何需求脉冲（无论是疫情囤货还是监管新规抢装）都会先表现为供给端交期问题，再传导成渠道库存周期，2022 年的"12% 行业下滑"正是这个机制的直接证据，而非终端需求恶化。</w:t>
      </w:r>
    </w:p>
    <w:p w14:paraId="5D3E8A87" w14:textId="77777777" w:rsidR="0076182B" w:rsidRDefault="0076182B" w:rsidP="006139F3"/>
    <w:p w14:paraId="41451FC4" w14:textId="074005DA" w:rsidR="006139F3" w:rsidRDefault="00700D5F" w:rsidP="00700D5F">
      <w:pPr>
        <w:pStyle w:val="2"/>
        <w:rPr>
          <w:rFonts w:hint="eastAsia"/>
        </w:rPr>
      </w:pPr>
      <w:r>
        <w:rPr>
          <w:rFonts w:hint="eastAsia"/>
        </w:rPr>
        <w:lastRenderedPageBreak/>
        <w:t>业务经营</w:t>
      </w:r>
    </w:p>
    <w:p w14:paraId="061498C6" w14:textId="048DB074" w:rsidR="000B030D" w:rsidRDefault="000B030D" w:rsidP="006139F3">
      <w:r w:rsidRPr="000B030D">
        <w:drawing>
          <wp:inline distT="0" distB="0" distL="0" distR="0" wp14:anchorId="4AB704A4" wp14:editId="331ECA7F">
            <wp:extent cx="6645910" cy="1835150"/>
            <wp:effectExtent l="0" t="0" r="0" b="6350"/>
            <wp:docPr id="1696845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45287" name=""/>
                    <pic:cNvPicPr/>
                  </pic:nvPicPr>
                  <pic:blipFill>
                    <a:blip r:embed="rId17"/>
                    <a:stretch>
                      <a:fillRect/>
                    </a:stretch>
                  </pic:blipFill>
                  <pic:spPr>
                    <a:xfrm>
                      <a:off x="0" y="0"/>
                      <a:ext cx="6645910" cy="1835150"/>
                    </a:xfrm>
                    <a:prstGeom prst="rect">
                      <a:avLst/>
                    </a:prstGeom>
                  </pic:spPr>
                </pic:pic>
              </a:graphicData>
            </a:graphic>
          </wp:inline>
        </w:drawing>
      </w:r>
    </w:p>
    <w:p w14:paraId="13259405" w14:textId="07A49D4D" w:rsidR="006139F3" w:rsidRDefault="00D47C0B" w:rsidP="006139F3">
      <w:r w:rsidRPr="00D47C0B">
        <w:drawing>
          <wp:inline distT="0" distB="0" distL="0" distR="0" wp14:anchorId="513349E5" wp14:editId="0BADFB91">
            <wp:extent cx="6645910" cy="1437005"/>
            <wp:effectExtent l="0" t="0" r="0" b="0"/>
            <wp:docPr id="1921101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01992" name=""/>
                    <pic:cNvPicPr/>
                  </pic:nvPicPr>
                  <pic:blipFill>
                    <a:blip r:embed="rId18"/>
                    <a:stretch>
                      <a:fillRect/>
                    </a:stretch>
                  </pic:blipFill>
                  <pic:spPr>
                    <a:xfrm>
                      <a:off x="0" y="0"/>
                      <a:ext cx="6645910" cy="1437005"/>
                    </a:xfrm>
                    <a:prstGeom prst="rect">
                      <a:avLst/>
                    </a:prstGeom>
                  </pic:spPr>
                </pic:pic>
              </a:graphicData>
            </a:graphic>
          </wp:inline>
        </w:drawing>
      </w:r>
    </w:p>
    <w:p w14:paraId="162AD920" w14:textId="2015D807" w:rsidR="00EC3C2C" w:rsidRDefault="00EC3C2C" w:rsidP="006139F3">
      <w:r w:rsidRPr="00EC3C2C">
        <w:drawing>
          <wp:inline distT="0" distB="0" distL="0" distR="0" wp14:anchorId="010D3A1F" wp14:editId="37671849">
            <wp:extent cx="6645910" cy="1165225"/>
            <wp:effectExtent l="0" t="0" r="0" b="3175"/>
            <wp:docPr id="889108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08560" name=""/>
                    <pic:cNvPicPr/>
                  </pic:nvPicPr>
                  <pic:blipFill>
                    <a:blip r:embed="rId19"/>
                    <a:stretch>
                      <a:fillRect/>
                    </a:stretch>
                  </pic:blipFill>
                  <pic:spPr>
                    <a:xfrm>
                      <a:off x="0" y="0"/>
                      <a:ext cx="6645910" cy="1165225"/>
                    </a:xfrm>
                    <a:prstGeom prst="rect">
                      <a:avLst/>
                    </a:prstGeom>
                  </pic:spPr>
                </pic:pic>
              </a:graphicData>
            </a:graphic>
          </wp:inline>
        </w:drawing>
      </w:r>
    </w:p>
    <w:p w14:paraId="05A56575" w14:textId="15F387EC" w:rsidR="00903F90" w:rsidRDefault="00903F90" w:rsidP="006139F3">
      <w:r w:rsidRPr="00903F90">
        <w:drawing>
          <wp:inline distT="0" distB="0" distL="0" distR="0" wp14:anchorId="5BF3450C" wp14:editId="23E5BA1D">
            <wp:extent cx="4013200" cy="1143451"/>
            <wp:effectExtent l="0" t="0" r="0" b="0"/>
            <wp:docPr id="185980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0160" name=""/>
                    <pic:cNvPicPr/>
                  </pic:nvPicPr>
                  <pic:blipFill>
                    <a:blip r:embed="rId20"/>
                    <a:stretch>
                      <a:fillRect/>
                    </a:stretch>
                  </pic:blipFill>
                  <pic:spPr>
                    <a:xfrm>
                      <a:off x="0" y="0"/>
                      <a:ext cx="4080023" cy="1162491"/>
                    </a:xfrm>
                    <a:prstGeom prst="rect">
                      <a:avLst/>
                    </a:prstGeom>
                  </pic:spPr>
                </pic:pic>
              </a:graphicData>
            </a:graphic>
          </wp:inline>
        </w:drawing>
      </w:r>
    </w:p>
    <w:p w14:paraId="5CC342DE" w14:textId="7E8752EC" w:rsidR="00D14B47" w:rsidRDefault="00D14B47" w:rsidP="006139F3">
      <w:pPr>
        <w:rPr>
          <w:rFonts w:hint="eastAsia"/>
        </w:rPr>
      </w:pPr>
      <w:r w:rsidRPr="00D14B47">
        <w:lastRenderedPageBreak/>
        <w:drawing>
          <wp:inline distT="0" distB="0" distL="0" distR="0" wp14:anchorId="28852F22" wp14:editId="75836075">
            <wp:extent cx="4016295" cy="3632200"/>
            <wp:effectExtent l="0" t="0" r="0" b="0"/>
            <wp:docPr id="96065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5997" name=""/>
                    <pic:cNvPicPr/>
                  </pic:nvPicPr>
                  <pic:blipFill>
                    <a:blip r:embed="rId21"/>
                    <a:stretch>
                      <a:fillRect/>
                    </a:stretch>
                  </pic:blipFill>
                  <pic:spPr>
                    <a:xfrm>
                      <a:off x="0" y="0"/>
                      <a:ext cx="4046832" cy="3659817"/>
                    </a:xfrm>
                    <a:prstGeom prst="rect">
                      <a:avLst/>
                    </a:prstGeom>
                  </pic:spPr>
                </pic:pic>
              </a:graphicData>
            </a:graphic>
          </wp:inline>
        </w:drawing>
      </w:r>
    </w:p>
    <w:p w14:paraId="3242AB92" w14:textId="0DA0FC14" w:rsidR="000D0A17" w:rsidRPr="000D0A17" w:rsidRDefault="000D0A17" w:rsidP="00C741A5">
      <w:pPr>
        <w:pStyle w:val="4"/>
      </w:pPr>
      <w:r w:rsidRPr="000D0A17">
        <w:rPr>
          <w:rFonts w:hint="eastAsia"/>
        </w:rPr>
        <w:t>北美</w:t>
      </w:r>
    </w:p>
    <w:p w14:paraId="64013E71" w14:textId="36773F75" w:rsidR="008D3A0A" w:rsidRPr="008D3A0A" w:rsidRDefault="00224A40" w:rsidP="00EB07B4">
      <w:pPr>
        <w:pStyle w:val="a9"/>
        <w:numPr>
          <w:ilvl w:val="0"/>
          <w:numId w:val="8"/>
        </w:numPr>
        <w:rPr>
          <w:rFonts w:hint="eastAsia"/>
          <w:b/>
          <w:bCs/>
        </w:rPr>
      </w:pPr>
      <w:r w:rsidRPr="00224A40">
        <w:rPr>
          <w:rFonts w:hint="eastAsia"/>
          <w:b/>
          <w:bCs/>
        </w:rPr>
        <w:t>热水器</w:t>
      </w:r>
    </w:p>
    <w:p w14:paraId="2F945BB1" w14:textId="77777777" w:rsidR="008D3A0A" w:rsidRDefault="008D3A0A" w:rsidP="00EB07B4">
      <w:r w:rsidRPr="008D3A0A">
        <w:t>北美热水器及配件是北美分部绝对核心（2025年占北美产品线收入约82.4%，2018年为85.9%，份额小幅回落但仍是驱动分部整体表现的关键变量），长期CAGR（2018-2025）4.93%，但增长路径呈现清晰的三段式：</w:t>
      </w:r>
    </w:p>
    <w:p w14:paraId="13A64C50" w14:textId="77777777" w:rsidR="008D3A0A" w:rsidRDefault="008D3A0A" w:rsidP="008D3A0A">
      <w:pPr>
        <w:ind w:firstLine="420"/>
      </w:pPr>
      <w:r w:rsidRPr="008D3A0A">
        <w:t>2018-2020年基本走平（CAGR -0.09%，与美国住宅热水器存量更换驱动、单位需求成熟不增长的行业背景一致）；</w:t>
      </w:r>
    </w:p>
    <w:p w14:paraId="06822951" w14:textId="77777777" w:rsidR="008D3A0A" w:rsidRDefault="008D3A0A" w:rsidP="008D3A0A">
      <w:pPr>
        <w:ind w:firstLine="420"/>
      </w:pPr>
      <w:r w:rsidRPr="008D3A0A">
        <w:t>2020-2023年进入高增长期（CAGR 11.89%），主要由2021-2022年的提价+补库存需求叠加驱动（2021年YoY+20.6%、2022年+9.9%）；</w:t>
      </w:r>
    </w:p>
    <w:p w14:paraId="6C4E3729" w14:textId="77777777" w:rsidR="008D3A0A" w:rsidRDefault="008D3A0A" w:rsidP="008D3A0A">
      <w:pPr>
        <w:ind w:firstLine="420"/>
      </w:pPr>
      <w:r w:rsidRPr="008D3A0A">
        <w:t>2023-2025年再度回归走平（CAGR仅0.07%，2024年甚至转负-0.62%），本质是价格红利消化完毕后回到单位量不增长的行业中枢。</w:t>
      </w:r>
    </w:p>
    <w:p w14:paraId="126A92C3" w14:textId="1611D8AA" w:rsidR="008D3A0A" w:rsidRDefault="008D3A0A" w:rsidP="008D3A0A">
      <w:pPr>
        <w:rPr>
          <w:rFonts w:hint="eastAsia"/>
        </w:rPr>
      </w:pPr>
      <w:r w:rsidRPr="008D3A0A">
        <w:t>用"对北美总增长的贡献额"框架看，热水器2024年实际上是北美分部增长的负贡献项（被锅炉和水处理的正贡献抵消），2025年贡献也基本归零（YoY+0.75%），说明当前阶段北美分部的边际增长动能已经从热水器切换到锅炉。管理层预计2025年住宅端单位量基本持平，2026年"受新建住宅疲软拖累，持平或下滑"，商用端2026年则因10月DOE新能效法规生效前的抢装效应预计中个位数增长——即热水器板块未来的边际增量将主要来自商用端结构性切换和提价，而非住宅端存量更换需求的自然扩张。</w:t>
      </w:r>
    </w:p>
    <w:p w14:paraId="4969EC16" w14:textId="522F6804" w:rsidR="00E06F30" w:rsidRPr="00C070AD" w:rsidRDefault="00C070AD" w:rsidP="00C070AD">
      <w:pPr>
        <w:pStyle w:val="a9"/>
        <w:numPr>
          <w:ilvl w:val="0"/>
          <w:numId w:val="8"/>
        </w:numPr>
        <w:rPr>
          <w:b/>
          <w:bCs/>
        </w:rPr>
      </w:pPr>
      <w:r w:rsidRPr="00C070AD">
        <w:rPr>
          <w:rFonts w:hint="eastAsia"/>
          <w:b/>
          <w:bCs/>
        </w:rPr>
        <w:t>锅炉</w:t>
      </w:r>
    </w:p>
    <w:p w14:paraId="14AFDE77" w14:textId="77777777" w:rsidR="00E80945" w:rsidRDefault="00E80945" w:rsidP="00E80945">
      <w:r w:rsidRPr="00E80945">
        <w:t>北美锅炉业务以Lochinvar品牌为核心（北美领先的住宅及商用锅炉品牌之一，Lochinvar品牌销售中约55%为锅炉及配件、45%为热水器），产品是封闭回路的空间供暖/水力供暖系统，规格覆盖4.5万BTU到600万BTU，商用端主要用于医院、学校、酒店等大型建筑，住宅端用于独栋/公寓/联排</w:t>
      </w:r>
      <w:r>
        <w:rPr>
          <w:rFonts w:hint="eastAsia"/>
        </w:rPr>
        <w:t>。</w:t>
      </w:r>
    </w:p>
    <w:p w14:paraId="066C89B2" w14:textId="77777777" w:rsidR="00E80945" w:rsidRDefault="00E80945" w:rsidP="00E80945">
      <w:r w:rsidRPr="00E80945">
        <w:t>商用锅炉渠道以厂商代表为主，其余走批发渠道，需求来源是存量替换与新建项目的组合，与热水器共享部分渠道但独立性更强。收入端占2025年北美收入约9.4%，长期CAGR（2018-2025）4.95%，与热水器基本持</w:t>
      </w:r>
      <w:r w:rsidRPr="00E80945">
        <w:lastRenderedPageBreak/>
        <w:t>平，但波动振幅远大于热水器（YoY标准差13.3% vs 7.9%）：2022年因渠道补库存单年暴涨28%，2023年伴随去库存回落12%，若把这两年打平计算真实中枢增速仅6.4%，说明2022-2023年的"暴涨暴跌"更多是渠道周期而非终端需求剧烈波动；2024-2025年恢复到8%左右的真实增长，驱动力是量增+提价，且与"高效冷凝商用燃气锅炉替代"的能效升级趋势一致。</w:t>
      </w:r>
    </w:p>
    <w:p w14:paraId="008A970F" w14:textId="34A704B6" w:rsidR="00E80945" w:rsidRPr="00E80945" w:rsidRDefault="00E80945" w:rsidP="00E80945">
      <w:pPr>
        <w:rPr>
          <w:rFonts w:hint="eastAsia"/>
        </w:rPr>
      </w:pPr>
      <w:r w:rsidRPr="00E80945">
        <w:t>管理层指引2026年锅炉销售增长6-8%，延续提价红利结转及向高效锅炉转型的需求，是北美三条产品线里当前展望最积极的一条，但10-K风险因素也明确点名"高效燃气锅炉板块可能走弱"为潜在下行风险，需要留意该品类对宏观/商业地产周期的敏感度高于热水器。</w:t>
      </w:r>
    </w:p>
    <w:p w14:paraId="2D15E1B1" w14:textId="4CCB4B8E" w:rsidR="004509BE" w:rsidRPr="00AE1487" w:rsidRDefault="00AE1487" w:rsidP="00AE1487">
      <w:pPr>
        <w:pStyle w:val="a9"/>
        <w:numPr>
          <w:ilvl w:val="0"/>
          <w:numId w:val="8"/>
        </w:numPr>
        <w:rPr>
          <w:b/>
          <w:bCs/>
        </w:rPr>
      </w:pPr>
      <w:r w:rsidRPr="00AE1487">
        <w:rPr>
          <w:rFonts w:hint="eastAsia"/>
          <w:b/>
          <w:bCs/>
        </w:rPr>
        <w:t>水处理</w:t>
      </w:r>
    </w:p>
    <w:p w14:paraId="398F466B" w14:textId="2E1AAC3D" w:rsidR="004509BE" w:rsidRDefault="0022412C" w:rsidP="00EB07B4">
      <w:pPr>
        <w:rPr>
          <w:rFonts w:hint="eastAsia"/>
        </w:rPr>
      </w:pPr>
      <w:r>
        <w:rPr>
          <w:rFonts w:hint="eastAsia"/>
        </w:rPr>
        <w:t>本质是家用/商用水质处理设备业务，产品包括水软化器、井水问题解决方案、全屋净水过滤系统</w:t>
      </w:r>
      <w:r w:rsidR="00052C75">
        <w:rPr>
          <w:rFonts w:hint="eastAsia"/>
        </w:rPr>
        <w:t>等</w:t>
      </w:r>
      <w:r>
        <w:rPr>
          <w:rFonts w:hint="eastAsia"/>
        </w:rPr>
        <w:t>。</w:t>
      </w:r>
    </w:p>
    <w:p w14:paraId="341A41D5" w14:textId="1586AEB9" w:rsidR="00AE1487" w:rsidRDefault="00A82153" w:rsidP="00EB07B4">
      <w:r w:rsidRPr="00A82153">
        <w:t>2023-2024年公司连续完成两笔小型并购（1680万美元、2130万美元）以扩张该业务版图。收入增速呈现明显的多年减速：2018-2021年渗透率红利期CAGR高达32%，2021-2025年降至4.8%，2023年增速已降至1.8%；2024年公司对北美水处理业务计提630万美元重组减值费用，主动砍掉低盈利渠道以改善成本结构，直接导致2025年收入下滑2.1%—。管理层指引2026年该业务收入将增长10-12%，主要由关税相关提价及经销商网络扩张驱动，指向渠道整顿已基本出清、并购整合红利叠加提价将支撑短期反弹，但结构性看，这条产品线的有机增长中枢已从并购初期的双位数回落至个位数。</w:t>
      </w:r>
    </w:p>
    <w:p w14:paraId="34109883" w14:textId="77777777" w:rsidR="00AE1487" w:rsidRDefault="00AE1487" w:rsidP="00EB07B4">
      <w:pPr>
        <w:rPr>
          <w:rFonts w:hint="eastAsia"/>
        </w:rPr>
      </w:pPr>
    </w:p>
    <w:p w14:paraId="1004EA38" w14:textId="5D204F8B" w:rsidR="00E06F30" w:rsidRPr="00D91EB5" w:rsidRDefault="00D91EB5" w:rsidP="00C741A5">
      <w:pPr>
        <w:pStyle w:val="4"/>
        <w:rPr>
          <w:rFonts w:hint="eastAsia"/>
        </w:rPr>
      </w:pPr>
      <w:r w:rsidRPr="00D91EB5">
        <w:rPr>
          <w:rFonts w:hint="eastAsia"/>
        </w:rPr>
        <w:t>世界其他地区</w:t>
      </w:r>
      <w:r w:rsidR="00A301B2">
        <w:rPr>
          <w:rFonts w:hint="eastAsia"/>
        </w:rPr>
        <w:t>（</w:t>
      </w:r>
      <w:proofErr w:type="spellStart"/>
      <w:r w:rsidR="00A301B2">
        <w:rPr>
          <w:rFonts w:hint="eastAsia"/>
        </w:rPr>
        <w:t>RoW</w:t>
      </w:r>
      <w:proofErr w:type="spellEnd"/>
      <w:r w:rsidR="00A301B2">
        <w:rPr>
          <w:rFonts w:hint="eastAsia"/>
        </w:rPr>
        <w:t>）</w:t>
      </w:r>
    </w:p>
    <w:p w14:paraId="46995E16" w14:textId="73A70070" w:rsidR="006A0626" w:rsidRPr="006A0626" w:rsidRDefault="006A0626" w:rsidP="006A0626">
      <w:pPr>
        <w:pStyle w:val="a9"/>
        <w:numPr>
          <w:ilvl w:val="0"/>
          <w:numId w:val="8"/>
        </w:numPr>
        <w:rPr>
          <w:b/>
          <w:bCs/>
        </w:rPr>
      </w:pPr>
      <w:r w:rsidRPr="006A0626">
        <w:rPr>
          <w:rFonts w:hint="eastAsia"/>
          <w:b/>
          <w:bCs/>
        </w:rPr>
        <w:t>中国</w:t>
      </w:r>
    </w:p>
    <w:p w14:paraId="224485F0" w14:textId="009E38D5" w:rsidR="006A0626" w:rsidRDefault="000F26F0" w:rsidP="00FE7FCB">
      <w:r w:rsidRPr="000F26F0">
        <w:drawing>
          <wp:inline distT="0" distB="0" distL="0" distR="0" wp14:anchorId="50F6F462" wp14:editId="4F0C164E">
            <wp:extent cx="5342467" cy="1886147"/>
            <wp:effectExtent l="0" t="0" r="4445" b="6350"/>
            <wp:docPr id="1814733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33759" name=""/>
                    <pic:cNvPicPr/>
                  </pic:nvPicPr>
                  <pic:blipFill>
                    <a:blip r:embed="rId22"/>
                    <a:stretch>
                      <a:fillRect/>
                    </a:stretch>
                  </pic:blipFill>
                  <pic:spPr>
                    <a:xfrm>
                      <a:off x="0" y="0"/>
                      <a:ext cx="5389950" cy="1902911"/>
                    </a:xfrm>
                    <a:prstGeom prst="rect">
                      <a:avLst/>
                    </a:prstGeom>
                  </pic:spPr>
                </pic:pic>
              </a:graphicData>
            </a:graphic>
          </wp:inline>
        </w:drawing>
      </w:r>
    </w:p>
    <w:p w14:paraId="43CF58EA" w14:textId="4146B4BF" w:rsidR="006A0626" w:rsidRDefault="00A301B2" w:rsidP="00FE7FCB">
      <w:pPr>
        <w:rPr>
          <w:rFonts w:hint="eastAsia"/>
        </w:rPr>
      </w:pPr>
      <w:r w:rsidRPr="00A301B2">
        <w:t>CAGR 2018-2025为-6.09%，且并非线性衰退——剔除2021年异常反弹后看2021-2025年CAGR是-7.02%，说明近几年跌幅在扩大而非收窄。中国占</w:t>
      </w:r>
      <w:proofErr w:type="spellStart"/>
      <w:r w:rsidRPr="00A301B2">
        <w:t>RoW</w:t>
      </w:r>
      <w:proofErr w:type="spellEnd"/>
      <w:r w:rsidRPr="00A301B2">
        <w:t>总收入的比重从2018年91.2%降至2025年78.3%，这是AOS主动+被动共同作用的结果：主动层面，2024年在中国计提1130万美元重组遣散费用，2025年SG&amp;A同比改善部分得益于这轮重组红利；被动层面，10-K明确将2025年-12%的下滑归因于"消费需求持续疲软 + 下半年政府家电以旧换新补贴退出"</w:t>
      </w:r>
      <w:r w:rsidR="00FD24DB">
        <w:rPr>
          <w:rFonts w:hint="eastAsia"/>
        </w:rPr>
        <w:t>。</w:t>
      </w:r>
    </w:p>
    <w:p w14:paraId="4D4B37BF" w14:textId="34A88F99" w:rsidR="00301D91" w:rsidRDefault="00881C24" w:rsidP="00301D91">
      <w:pPr>
        <w:rPr>
          <w:rFonts w:hint="eastAsia"/>
        </w:rPr>
      </w:pPr>
      <w:r w:rsidRPr="00881C24">
        <w:t>AOS已在2025年第三季度正式启动对中国业务的战略评估</w:t>
      </w:r>
      <w:r>
        <w:rPr>
          <w:rFonts w:hint="eastAsia"/>
        </w:rPr>
        <w:t>。</w:t>
      </w:r>
      <w:r w:rsidR="009E69BD" w:rsidRPr="009E69BD">
        <w:t>2026年中国业务的下滑速度较2025年进一步恶化：2026年Q1本地货币口径下滑17%，Q2扩大到-28%，全年</w:t>
      </w:r>
      <w:proofErr w:type="spellStart"/>
      <w:r w:rsidR="009E69BD" w:rsidRPr="009E69BD">
        <w:t>RoW</w:t>
      </w:r>
      <w:proofErr w:type="spellEnd"/>
      <w:r w:rsidR="009E69BD" w:rsidRPr="009E69BD">
        <w:t>分部利润率从上年10.5%压缩至5.2%（Q2单季）。这意味着中国业务当前正处于AOS历史上最重大的一次战略再定位的前夜</w:t>
      </w:r>
      <w:r w:rsidR="009E69BD">
        <w:rPr>
          <w:rFonts w:hint="eastAsia"/>
        </w:rPr>
        <w:t>。</w:t>
      </w:r>
    </w:p>
    <w:p w14:paraId="32D8AD49" w14:textId="48A0BDFD" w:rsidR="002D6019" w:rsidRPr="002B0D7D" w:rsidRDefault="002B0D7D" w:rsidP="002B0D7D">
      <w:pPr>
        <w:pStyle w:val="a9"/>
        <w:numPr>
          <w:ilvl w:val="0"/>
          <w:numId w:val="8"/>
        </w:numPr>
        <w:rPr>
          <w:b/>
          <w:bCs/>
        </w:rPr>
      </w:pPr>
      <w:r w:rsidRPr="002B0D7D">
        <w:rPr>
          <w:rFonts w:hint="eastAsia"/>
          <w:b/>
          <w:bCs/>
        </w:rPr>
        <w:t>其他地区</w:t>
      </w:r>
    </w:p>
    <w:p w14:paraId="57B1710F" w14:textId="07612CDF" w:rsidR="00301D91" w:rsidRPr="00301D91" w:rsidRDefault="00347EE3" w:rsidP="00FE7FCB">
      <w:pPr>
        <w:rPr>
          <w:rFonts w:hint="eastAsia"/>
        </w:rPr>
      </w:pPr>
      <w:r w:rsidRPr="00347EE3">
        <w:t>印度+</w:t>
      </w:r>
      <w:proofErr w:type="spellStart"/>
      <w:r w:rsidRPr="00347EE3">
        <w:t>Pureit</w:t>
      </w:r>
      <w:proofErr w:type="spellEnd"/>
      <w:r w:rsidRPr="00347EE3">
        <w:t>以两位数增速快速扩张但基数太小、尚不足以对冲中国的绝对金额萎缩，欧洲及其他零散市场基</w:t>
      </w:r>
      <w:r w:rsidRPr="00347EE3">
        <w:lastRenderedPageBreak/>
        <w:t>本无关紧要。</w:t>
      </w:r>
    </w:p>
    <w:p w14:paraId="3AA5E75C" w14:textId="7F1DB507" w:rsidR="006139F3" w:rsidRDefault="00B72953" w:rsidP="00B72953">
      <w:pPr>
        <w:pStyle w:val="2"/>
      </w:pPr>
      <w:r>
        <w:rPr>
          <w:rFonts w:hint="eastAsia"/>
        </w:rPr>
        <w:t>基本面</w:t>
      </w:r>
    </w:p>
    <w:p w14:paraId="07FCB559" w14:textId="0EC5B66B" w:rsidR="00A62244" w:rsidRDefault="00A62244" w:rsidP="00A62244">
      <w:pPr>
        <w:pStyle w:val="4"/>
      </w:pPr>
      <w:r>
        <w:rPr>
          <w:rFonts w:hint="eastAsia"/>
        </w:rPr>
        <w:t>利润</w:t>
      </w:r>
    </w:p>
    <w:p w14:paraId="322F8A8F" w14:textId="2509E757" w:rsidR="00301D91" w:rsidRDefault="00184F71" w:rsidP="006139F3">
      <w:r w:rsidRPr="00184F71">
        <w:rPr>
          <w:noProof/>
        </w:rPr>
        <w:drawing>
          <wp:inline distT="0" distB="0" distL="0" distR="0" wp14:anchorId="4B1CEF09" wp14:editId="0DF3AFF7">
            <wp:extent cx="6645910" cy="4364990"/>
            <wp:effectExtent l="0" t="0" r="0" b="3810"/>
            <wp:docPr id="108079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9919" name=""/>
                    <pic:cNvPicPr/>
                  </pic:nvPicPr>
                  <pic:blipFill>
                    <a:blip r:embed="rId23"/>
                    <a:stretch>
                      <a:fillRect/>
                    </a:stretch>
                  </pic:blipFill>
                  <pic:spPr>
                    <a:xfrm>
                      <a:off x="0" y="0"/>
                      <a:ext cx="6645910" cy="4364990"/>
                    </a:xfrm>
                    <a:prstGeom prst="rect">
                      <a:avLst/>
                    </a:prstGeom>
                  </pic:spPr>
                </pic:pic>
              </a:graphicData>
            </a:graphic>
          </wp:inline>
        </w:drawing>
      </w:r>
    </w:p>
    <w:p w14:paraId="3F7501D8" w14:textId="645D32AF" w:rsidR="002C793E" w:rsidRDefault="002C793E" w:rsidP="006139F3">
      <w:r w:rsidRPr="002C793E">
        <w:rPr>
          <w:noProof/>
        </w:rPr>
        <w:drawing>
          <wp:inline distT="0" distB="0" distL="0" distR="0" wp14:anchorId="666E5949" wp14:editId="024D4265">
            <wp:extent cx="5731933" cy="972665"/>
            <wp:effectExtent l="0" t="0" r="0" b="5715"/>
            <wp:docPr id="1478073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73397" name=""/>
                    <pic:cNvPicPr/>
                  </pic:nvPicPr>
                  <pic:blipFill>
                    <a:blip r:embed="rId24"/>
                    <a:stretch>
                      <a:fillRect/>
                    </a:stretch>
                  </pic:blipFill>
                  <pic:spPr>
                    <a:xfrm>
                      <a:off x="0" y="0"/>
                      <a:ext cx="5774337" cy="979861"/>
                    </a:xfrm>
                    <a:prstGeom prst="rect">
                      <a:avLst/>
                    </a:prstGeom>
                  </pic:spPr>
                </pic:pic>
              </a:graphicData>
            </a:graphic>
          </wp:inline>
        </w:drawing>
      </w:r>
    </w:p>
    <w:p w14:paraId="09A98306" w14:textId="6AEBBAB3" w:rsidR="006139F3" w:rsidRDefault="00700B3E" w:rsidP="006139F3">
      <w:r w:rsidRPr="00700B3E">
        <w:t>利润表的首要特征是收入在 2021 年因价格和销量同步修复而大幅增长，但自 2023 年起进入低个位数增长或小幅波动。2025 年净销售额 3830.2 百万美元，同比增长仅 0.3%，显示公司已经从此前的高速恢复期转入成熟低速阶段。这一收入平台期的背后，是北美住宅替换需求稳定但增量有限，中国业务持续收缩，以及价格贡献无法完全对冲销量和汇率压力。</w:t>
      </w:r>
    </w:p>
    <w:p w14:paraId="3FD58379" w14:textId="1648E8D8" w:rsidR="00BB08AA" w:rsidRPr="00B00A0D" w:rsidRDefault="00BB08AA" w:rsidP="00BB08AA">
      <w:r>
        <w:t>毛利率与净利润受到 2022 年特殊项目严重扭曲。2022 年其他（收入）费用净额高达 425.6 百万美元，主要包含养老金结算相关大额支出。</w:t>
      </w:r>
    </w:p>
    <w:p w14:paraId="47144569" w14:textId="7D21A201" w:rsidR="006139F3" w:rsidRPr="00BB08AA" w:rsidRDefault="00BB08AA" w:rsidP="00BB08AA">
      <w:r>
        <w:t>销售、一般及行政费用从 2021 年的 701.4 百万美元上升至 2025 年的 759.4 百万美元，绝对额持续增加。重组及减值费用集中在 2023—2024 年，分别 18.8 百万美元和 17.6 百万美元，2025 年为零。这类项目并非每年重复，但在中国业务调整、北美水处理渠道重组期间会阶段性出现。利息费用维持低位，2025 年为 13.5 百万美元，并未构成主要利润拖累。</w:t>
      </w:r>
    </w:p>
    <w:p w14:paraId="4E4DDCF7" w14:textId="3F36B9B6" w:rsidR="00184F71" w:rsidRDefault="00A41183" w:rsidP="006139F3">
      <w:r w:rsidRPr="00A41183">
        <w:rPr>
          <w:noProof/>
        </w:rPr>
        <w:lastRenderedPageBreak/>
        <w:drawing>
          <wp:inline distT="0" distB="0" distL="0" distR="0" wp14:anchorId="317F4359" wp14:editId="30481CCF">
            <wp:extent cx="6645910" cy="2849245"/>
            <wp:effectExtent l="0" t="0" r="0" b="0"/>
            <wp:docPr id="420375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75910" name=""/>
                    <pic:cNvPicPr/>
                  </pic:nvPicPr>
                  <pic:blipFill>
                    <a:blip r:embed="rId25"/>
                    <a:stretch>
                      <a:fillRect/>
                    </a:stretch>
                  </pic:blipFill>
                  <pic:spPr>
                    <a:xfrm>
                      <a:off x="0" y="0"/>
                      <a:ext cx="6645910" cy="2849245"/>
                    </a:xfrm>
                    <a:prstGeom prst="rect">
                      <a:avLst/>
                    </a:prstGeom>
                  </pic:spPr>
                </pic:pic>
              </a:graphicData>
            </a:graphic>
          </wp:inline>
        </w:drawing>
      </w:r>
    </w:p>
    <w:p w14:paraId="3AD00E19" w14:textId="6F21B10E" w:rsidR="00A41183" w:rsidRDefault="00A41183" w:rsidP="00A41183">
      <w:r>
        <w:t>利润率</w:t>
      </w:r>
      <w:r>
        <w:rPr>
          <w:rFonts w:hint="eastAsia"/>
        </w:rPr>
        <w:t>有</w:t>
      </w:r>
      <w:r>
        <w:t>两个关键阶段。第一阶段是 2020—2022 年的毛利率下行，主要受钢铁和其他材料成本上涨挤压；第二阶段是 2023—2025 年的修复，毛利率回到 38%—39%。</w:t>
      </w:r>
    </w:p>
    <w:p w14:paraId="6FB7AAE1" w14:textId="7F529C68" w:rsidR="006139F3" w:rsidRDefault="00A41183" w:rsidP="006139F3">
      <w:pPr>
        <w:rPr>
          <w:rFonts w:hint="eastAsia"/>
        </w:rPr>
      </w:pPr>
      <w:r w:rsidRPr="00A41183">
        <w:rPr>
          <w:noProof/>
        </w:rPr>
        <w:drawing>
          <wp:inline distT="0" distB="0" distL="0" distR="0" wp14:anchorId="7DF10BD0" wp14:editId="004C5139">
            <wp:extent cx="6645910" cy="843280"/>
            <wp:effectExtent l="0" t="0" r="0" b="0"/>
            <wp:docPr id="693442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42807" name=""/>
                    <pic:cNvPicPr/>
                  </pic:nvPicPr>
                  <pic:blipFill>
                    <a:blip r:embed="rId26"/>
                    <a:stretch>
                      <a:fillRect/>
                    </a:stretch>
                  </pic:blipFill>
                  <pic:spPr>
                    <a:xfrm>
                      <a:off x="0" y="0"/>
                      <a:ext cx="6645910" cy="843280"/>
                    </a:xfrm>
                    <a:prstGeom prst="rect">
                      <a:avLst/>
                    </a:prstGeom>
                  </pic:spPr>
                </pic:pic>
              </a:graphicData>
            </a:graphic>
          </wp:inline>
        </w:drawing>
      </w:r>
    </w:p>
    <w:p w14:paraId="74235C7E" w14:textId="734B6B33" w:rsidR="006139F3" w:rsidRDefault="00AB6F09" w:rsidP="006139F3">
      <w:r w:rsidRPr="00AB6F09">
        <w:rPr>
          <w:noProof/>
        </w:rPr>
        <w:drawing>
          <wp:inline distT="0" distB="0" distL="0" distR="0" wp14:anchorId="2F5C895A" wp14:editId="0A818557">
            <wp:extent cx="3632200" cy="2465334"/>
            <wp:effectExtent l="0" t="0" r="0" b="0"/>
            <wp:docPr id="797389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89157" name=""/>
                    <pic:cNvPicPr/>
                  </pic:nvPicPr>
                  <pic:blipFill>
                    <a:blip r:embed="rId27"/>
                    <a:stretch>
                      <a:fillRect/>
                    </a:stretch>
                  </pic:blipFill>
                  <pic:spPr>
                    <a:xfrm>
                      <a:off x="0" y="0"/>
                      <a:ext cx="3649988" cy="2477407"/>
                    </a:xfrm>
                    <a:prstGeom prst="rect">
                      <a:avLst/>
                    </a:prstGeom>
                  </pic:spPr>
                </pic:pic>
              </a:graphicData>
            </a:graphic>
          </wp:inline>
        </w:drawing>
      </w:r>
    </w:p>
    <w:p w14:paraId="0BA0370D" w14:textId="3D3BBFC4" w:rsidR="006139F3" w:rsidRDefault="00A62244" w:rsidP="00A62244">
      <w:pPr>
        <w:pStyle w:val="4"/>
      </w:pPr>
      <w:r>
        <w:rPr>
          <w:rFonts w:hint="eastAsia"/>
        </w:rPr>
        <w:lastRenderedPageBreak/>
        <w:t>现金流</w:t>
      </w:r>
    </w:p>
    <w:p w14:paraId="1C6CA925" w14:textId="66046785" w:rsidR="006139F3" w:rsidRDefault="00BD3E3B" w:rsidP="006139F3">
      <w:r w:rsidRPr="00BD3E3B">
        <w:drawing>
          <wp:inline distT="0" distB="0" distL="0" distR="0" wp14:anchorId="52044D9B" wp14:editId="2302F303">
            <wp:extent cx="6645910" cy="3031490"/>
            <wp:effectExtent l="0" t="0" r="0" b="3810"/>
            <wp:docPr id="125276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6386" name=""/>
                    <pic:cNvPicPr/>
                  </pic:nvPicPr>
                  <pic:blipFill>
                    <a:blip r:embed="rId28"/>
                    <a:stretch>
                      <a:fillRect/>
                    </a:stretch>
                  </pic:blipFill>
                  <pic:spPr>
                    <a:xfrm>
                      <a:off x="0" y="0"/>
                      <a:ext cx="6645910" cy="3031490"/>
                    </a:xfrm>
                    <a:prstGeom prst="rect">
                      <a:avLst/>
                    </a:prstGeom>
                  </pic:spPr>
                </pic:pic>
              </a:graphicData>
            </a:graphic>
          </wp:inline>
        </w:drawing>
      </w:r>
    </w:p>
    <w:p w14:paraId="0FA1A57E" w14:textId="36031AA3" w:rsidR="006139F3" w:rsidRDefault="003D5240" w:rsidP="006139F3">
      <w:r w:rsidRPr="008F4FF2">
        <w:drawing>
          <wp:inline distT="0" distB="0" distL="0" distR="0" wp14:anchorId="3021BED3" wp14:editId="5EA925D5">
            <wp:extent cx="6645910" cy="2399665"/>
            <wp:effectExtent l="0" t="0" r="0" b="635"/>
            <wp:docPr id="3150864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86486" name=""/>
                    <pic:cNvPicPr/>
                  </pic:nvPicPr>
                  <pic:blipFill>
                    <a:blip r:embed="rId29"/>
                    <a:stretch>
                      <a:fillRect/>
                    </a:stretch>
                  </pic:blipFill>
                  <pic:spPr>
                    <a:xfrm>
                      <a:off x="0" y="0"/>
                      <a:ext cx="6645910" cy="2399665"/>
                    </a:xfrm>
                    <a:prstGeom prst="rect">
                      <a:avLst/>
                    </a:prstGeom>
                  </pic:spPr>
                </pic:pic>
              </a:graphicData>
            </a:graphic>
          </wp:inline>
        </w:drawing>
      </w:r>
    </w:p>
    <w:p w14:paraId="05C5BB80" w14:textId="15151F03" w:rsidR="00A62244" w:rsidRDefault="00A62244" w:rsidP="006139F3">
      <w:pPr>
        <w:rPr>
          <w:rFonts w:hint="eastAsia"/>
        </w:rPr>
      </w:pPr>
      <w:r w:rsidRPr="00A41183">
        <w:rPr>
          <w:noProof/>
        </w:rPr>
        <w:drawing>
          <wp:inline distT="0" distB="0" distL="0" distR="0" wp14:anchorId="66536D29" wp14:editId="6FDD0D89">
            <wp:extent cx="6645910" cy="3272790"/>
            <wp:effectExtent l="0" t="0" r="0" b="3810"/>
            <wp:docPr id="2078817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17326" name=""/>
                    <pic:cNvPicPr/>
                  </pic:nvPicPr>
                  <pic:blipFill>
                    <a:blip r:embed="rId30"/>
                    <a:stretch>
                      <a:fillRect/>
                    </a:stretch>
                  </pic:blipFill>
                  <pic:spPr>
                    <a:xfrm>
                      <a:off x="0" y="0"/>
                      <a:ext cx="6645910" cy="3272790"/>
                    </a:xfrm>
                    <a:prstGeom prst="rect">
                      <a:avLst/>
                    </a:prstGeom>
                  </pic:spPr>
                </pic:pic>
              </a:graphicData>
            </a:graphic>
          </wp:inline>
        </w:drawing>
      </w:r>
    </w:p>
    <w:p w14:paraId="3C3F3963" w14:textId="3EA10BAE" w:rsidR="00846FBB" w:rsidRDefault="00846FBB" w:rsidP="00846FBB">
      <w:r w:rsidRPr="00846FBB">
        <w:rPr>
          <w:b/>
          <w:bCs/>
        </w:rPr>
        <w:lastRenderedPageBreak/>
        <w:t>资本开支强度极低，FCF转化率高</w:t>
      </w:r>
      <w:r w:rsidRPr="001551B4">
        <w:rPr>
          <w:b/>
          <w:bCs/>
        </w:rPr>
        <w:t>。</w:t>
      </w:r>
      <w:r>
        <w:t>Capex占OCF平均只有约15%（11年合计850.8/5493.3），这是典型的轻资产制造业特征——AOS不需要靠大额资本开支维持增长，绝大部分经营现金流可以自由分配。FCF margin（FCF/销售额）常年维持在8%-17%区间，2022年（养老金结算年）和2017年（高资本开支+营运资金占用）是低点，其余年份基本在12%-17%。</w:t>
      </w:r>
    </w:p>
    <w:p w14:paraId="608960E8" w14:textId="77777777" w:rsidR="00846FBB" w:rsidRDefault="00846FBB" w:rsidP="00846FBB">
      <w:r>
        <w:t>11年股东回报总额与FCF总额几乎打平（4336.3 vs 4642.5，比例93.4%），但单年波动很大。 2020年（疫情谨慎，回购几乎砍半至56.7）和2016年是保守年份（回报/FCF仅约42%-60%）；2019、2022、2024、2025则回报超过当年FCF（最极端是2022年养老金结算年，回报/FCF高达181%，靠账面现金和总体资产负债表弹性弥补），显示管理层把股东回报当作跨周期的稳定承诺来管理，而不是逐年机械地按FCF打折扣——用好年份的盈余覆盖坏年份的缺口。</w:t>
      </w:r>
    </w:p>
    <w:p w14:paraId="11578B3C" w14:textId="77777777" w:rsidR="00846FBB" w:rsidRDefault="00846FBB" w:rsidP="00846FBB">
      <w:r w:rsidRPr="002555D9">
        <w:rPr>
          <w:b/>
          <w:bCs/>
        </w:rPr>
        <w:t>回购是主要回报工具，股息是次要但极其稳定增长的部分</w:t>
      </w:r>
      <w:r>
        <w:t>。 11年里回购累计2732.5百万美元，是股息累计1603.8百万美元的约1.7倍（63:37分配）。但DPS从0.38美元/股增长到1.38美元/股，10年CAGR约13.8%，逐年只增不减，印证了报告里提到的"86年连续分红、34年连续增息"的叙事——股息端展现的是极强的确定性和纪律性，回购端才是弹性调节阀（2020年疫情、2022年养老金冲击时回购明显收缩，作为现金流缓冲）。</w:t>
      </w:r>
    </w:p>
    <w:p w14:paraId="47569D54" w14:textId="1906D272" w:rsidR="006139F3" w:rsidRDefault="00846FBB" w:rsidP="00846FBB">
      <w:r w:rsidRPr="002555D9">
        <w:rPr>
          <w:b/>
          <w:bCs/>
        </w:rPr>
        <w:t>稀释股数从179.0M降至141.9M，10年缩减20.7%，年化约-2.3%</w:t>
      </w:r>
      <w:r>
        <w:t>。这不是简单对冲期权稀释的象征性回购，是实质性、持续性的股数收缩——按目前节奏，长期持有者的每股权益/每股股息受益于分母持续变小，这也部分解释了DPS增速（13.8%）明显快于股息总额增速（约11.2%，1603.8年化）的原因。</w:t>
      </w:r>
    </w:p>
    <w:p w14:paraId="060C1005" w14:textId="51119748" w:rsidR="00DF73D7" w:rsidRDefault="00DF73D7" w:rsidP="00846FBB">
      <w:pPr>
        <w:rPr>
          <w:rFonts w:hint="eastAsia"/>
        </w:rPr>
      </w:pPr>
      <w:r w:rsidRPr="00DF73D7">
        <w:drawing>
          <wp:inline distT="0" distB="0" distL="0" distR="0" wp14:anchorId="2AE58045" wp14:editId="65472E74">
            <wp:extent cx="2497667" cy="5160906"/>
            <wp:effectExtent l="0" t="0" r="4445" b="0"/>
            <wp:docPr id="309575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75177" name=""/>
                    <pic:cNvPicPr/>
                  </pic:nvPicPr>
                  <pic:blipFill>
                    <a:blip r:embed="rId31"/>
                    <a:stretch>
                      <a:fillRect/>
                    </a:stretch>
                  </pic:blipFill>
                  <pic:spPr>
                    <a:xfrm>
                      <a:off x="0" y="0"/>
                      <a:ext cx="2522129" cy="5211452"/>
                    </a:xfrm>
                    <a:prstGeom prst="rect">
                      <a:avLst/>
                    </a:prstGeom>
                  </pic:spPr>
                </pic:pic>
              </a:graphicData>
            </a:graphic>
          </wp:inline>
        </w:drawing>
      </w:r>
    </w:p>
    <w:p w14:paraId="28BC73E3" w14:textId="3096BB4B" w:rsidR="006139F3" w:rsidRDefault="00770381" w:rsidP="00770381">
      <w:pPr>
        <w:pStyle w:val="4"/>
      </w:pPr>
      <w:r>
        <w:rPr>
          <w:rFonts w:hint="eastAsia"/>
        </w:rPr>
        <w:lastRenderedPageBreak/>
        <w:t>资产负债</w:t>
      </w:r>
    </w:p>
    <w:p w14:paraId="60B69079" w14:textId="094E7FD3" w:rsidR="006139F3" w:rsidRDefault="00A2191A" w:rsidP="006139F3">
      <w:r w:rsidRPr="00A2191A">
        <w:drawing>
          <wp:inline distT="0" distB="0" distL="0" distR="0" wp14:anchorId="238A6924" wp14:editId="66F60ED2">
            <wp:extent cx="5050046" cy="6874933"/>
            <wp:effectExtent l="0" t="0" r="5080" b="0"/>
            <wp:docPr id="1481609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09131" name=""/>
                    <pic:cNvPicPr/>
                  </pic:nvPicPr>
                  <pic:blipFill>
                    <a:blip r:embed="rId32"/>
                    <a:stretch>
                      <a:fillRect/>
                    </a:stretch>
                  </pic:blipFill>
                  <pic:spPr>
                    <a:xfrm>
                      <a:off x="0" y="0"/>
                      <a:ext cx="5061621" cy="6890691"/>
                    </a:xfrm>
                    <a:prstGeom prst="rect">
                      <a:avLst/>
                    </a:prstGeom>
                  </pic:spPr>
                </pic:pic>
              </a:graphicData>
            </a:graphic>
          </wp:inline>
        </w:drawing>
      </w:r>
    </w:p>
    <w:p w14:paraId="0C772E35" w14:textId="7F1D3E63" w:rsidR="003A092C" w:rsidRDefault="001A3458" w:rsidP="006139F3">
      <w:pPr>
        <w:rPr>
          <w:rFonts w:hint="eastAsia"/>
          <w:noProof/>
        </w:rPr>
      </w:pPr>
      <w:r w:rsidRPr="001A3458">
        <w:lastRenderedPageBreak/>
        <w:drawing>
          <wp:inline distT="0" distB="0" distL="0" distR="0" wp14:anchorId="3F137893" wp14:editId="6E14BE21">
            <wp:extent cx="2722388" cy="3268134"/>
            <wp:effectExtent l="0" t="0" r="0" b="0"/>
            <wp:docPr id="492894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94946" name=""/>
                    <pic:cNvPicPr/>
                  </pic:nvPicPr>
                  <pic:blipFill>
                    <a:blip r:embed="rId33"/>
                    <a:stretch>
                      <a:fillRect/>
                    </a:stretch>
                  </pic:blipFill>
                  <pic:spPr>
                    <a:xfrm>
                      <a:off x="0" y="0"/>
                      <a:ext cx="2741345" cy="3290891"/>
                    </a:xfrm>
                    <a:prstGeom prst="rect">
                      <a:avLst/>
                    </a:prstGeom>
                  </pic:spPr>
                </pic:pic>
              </a:graphicData>
            </a:graphic>
          </wp:inline>
        </w:drawing>
      </w:r>
      <w:r w:rsidR="00FD49A1" w:rsidRPr="00FD49A1">
        <w:rPr>
          <w:noProof/>
        </w:rPr>
        <w:t xml:space="preserve"> </w:t>
      </w:r>
      <w:r w:rsidR="00FD49A1" w:rsidRPr="00FD49A1">
        <w:drawing>
          <wp:inline distT="0" distB="0" distL="0" distR="0" wp14:anchorId="3F76CD8C" wp14:editId="03D45978">
            <wp:extent cx="1896910" cy="1278466"/>
            <wp:effectExtent l="0" t="0" r="0" b="4445"/>
            <wp:docPr id="1220268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68205" name=""/>
                    <pic:cNvPicPr/>
                  </pic:nvPicPr>
                  <pic:blipFill>
                    <a:blip r:embed="rId34"/>
                    <a:stretch>
                      <a:fillRect/>
                    </a:stretch>
                  </pic:blipFill>
                  <pic:spPr>
                    <a:xfrm>
                      <a:off x="0" y="0"/>
                      <a:ext cx="1922638" cy="1295806"/>
                    </a:xfrm>
                    <a:prstGeom prst="rect">
                      <a:avLst/>
                    </a:prstGeom>
                  </pic:spPr>
                </pic:pic>
              </a:graphicData>
            </a:graphic>
          </wp:inline>
        </w:drawing>
      </w:r>
      <w:r w:rsidR="003A092C" w:rsidRPr="003A092C">
        <w:drawing>
          <wp:inline distT="0" distB="0" distL="0" distR="0" wp14:anchorId="1B0E973E" wp14:editId="51FC8A16">
            <wp:extent cx="1862667" cy="1289539"/>
            <wp:effectExtent l="0" t="0" r="4445" b="6350"/>
            <wp:docPr id="1765105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05749" name=""/>
                    <pic:cNvPicPr/>
                  </pic:nvPicPr>
                  <pic:blipFill>
                    <a:blip r:embed="rId35"/>
                    <a:stretch>
                      <a:fillRect/>
                    </a:stretch>
                  </pic:blipFill>
                  <pic:spPr>
                    <a:xfrm>
                      <a:off x="0" y="0"/>
                      <a:ext cx="1883696" cy="1304098"/>
                    </a:xfrm>
                    <a:prstGeom prst="rect">
                      <a:avLst/>
                    </a:prstGeom>
                  </pic:spPr>
                </pic:pic>
              </a:graphicData>
            </a:graphic>
          </wp:inline>
        </w:drawing>
      </w:r>
    </w:p>
    <w:p w14:paraId="0F3AF8CB" w14:textId="13E82AE4" w:rsidR="006139F3" w:rsidRDefault="00D52072" w:rsidP="00D52072">
      <w:pPr>
        <w:pStyle w:val="2"/>
      </w:pPr>
      <w:r>
        <w:rPr>
          <w:rFonts w:hint="eastAsia"/>
        </w:rPr>
        <w:t>估值</w:t>
      </w:r>
    </w:p>
    <w:p w14:paraId="25B9BCBE" w14:textId="79980547" w:rsidR="00770A8C" w:rsidRDefault="00FC0390">
      <w:r w:rsidRPr="00FC0390">
        <w:drawing>
          <wp:inline distT="0" distB="0" distL="0" distR="0" wp14:anchorId="580F706C" wp14:editId="418A97C9">
            <wp:extent cx="6645910" cy="2698115"/>
            <wp:effectExtent l="0" t="0" r="0" b="0"/>
            <wp:docPr id="454910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10132" name=""/>
                    <pic:cNvPicPr/>
                  </pic:nvPicPr>
                  <pic:blipFill>
                    <a:blip r:embed="rId36"/>
                    <a:stretch>
                      <a:fillRect/>
                    </a:stretch>
                  </pic:blipFill>
                  <pic:spPr>
                    <a:xfrm>
                      <a:off x="0" y="0"/>
                      <a:ext cx="6645910" cy="2698115"/>
                    </a:xfrm>
                    <a:prstGeom prst="rect">
                      <a:avLst/>
                    </a:prstGeom>
                  </pic:spPr>
                </pic:pic>
              </a:graphicData>
            </a:graphic>
          </wp:inline>
        </w:drawing>
      </w:r>
    </w:p>
    <w:p w14:paraId="1C84C6E7" w14:textId="0C610C4F" w:rsidR="00770A8C" w:rsidRPr="00B634D2" w:rsidRDefault="00B634D2">
      <w:pPr>
        <w:rPr>
          <w:rFonts w:hint="eastAsia"/>
          <w:b/>
          <w:bCs/>
        </w:rPr>
      </w:pPr>
      <w:r w:rsidRPr="00B634D2">
        <w:rPr>
          <w:rFonts w:hint="eastAsia"/>
          <w:b/>
          <w:bCs/>
        </w:rPr>
        <w:t>26财年指引</w:t>
      </w:r>
    </w:p>
    <w:p w14:paraId="3D5D739B" w14:textId="77777777" w:rsidR="003C00F0" w:rsidRDefault="003C00F0" w:rsidP="003C00F0">
      <w:r>
        <w:t>核心指引下修</w:t>
      </w:r>
    </w:p>
    <w:p w14:paraId="65E639D1" w14:textId="714D4BAF" w:rsidR="003C00F0" w:rsidRDefault="003C00F0" w:rsidP="00EC2BB4">
      <w:pPr>
        <w:pStyle w:val="a9"/>
        <w:numPr>
          <w:ilvl w:val="0"/>
          <w:numId w:val="15"/>
        </w:numPr>
      </w:pPr>
      <w:r>
        <w:t>全年销售额增长:由此前 2%-4% 收窄至 2%-3%(北美住宅热水器需求弱于预期)</w:t>
      </w:r>
    </w:p>
    <w:p w14:paraId="34C12758" w14:textId="4C4502DB" w:rsidR="00EC0696" w:rsidRDefault="003C00F0" w:rsidP="00EC2BB4">
      <w:pPr>
        <w:pStyle w:val="a9"/>
        <w:numPr>
          <w:ilvl w:val="0"/>
          <w:numId w:val="15"/>
        </w:numPr>
      </w:pPr>
      <w:r>
        <w:t>调整后EPS:由此前 $3.70-4.00 收窄至 $3.70-3.85</w:t>
      </w:r>
    </w:p>
    <w:p w14:paraId="00AE8CDD" w14:textId="4E620966" w:rsidR="00E4569D" w:rsidRDefault="00E4569D" w:rsidP="00E4569D">
      <w:pPr>
        <w:rPr>
          <w:rFonts w:hint="eastAsia"/>
        </w:rPr>
      </w:pPr>
      <w:r>
        <w:t>成本假设</w:t>
      </w:r>
    </w:p>
    <w:p w14:paraId="435EB075" w14:textId="77777777" w:rsidR="00E4569D" w:rsidRDefault="00E4569D" w:rsidP="00E4569D">
      <w:pPr>
        <w:pStyle w:val="a9"/>
        <w:numPr>
          <w:ilvl w:val="0"/>
          <w:numId w:val="15"/>
        </w:numPr>
      </w:pPr>
      <w:r>
        <w:t>全年钢材成本预计较2025年上涨约15%,下半年通胀幅度高于上半年</w:t>
      </w:r>
    </w:p>
    <w:p w14:paraId="013FE284" w14:textId="22A45EDC" w:rsidR="00E4569D" w:rsidRDefault="00E4569D" w:rsidP="00E4569D">
      <w:pPr>
        <w:pStyle w:val="a9"/>
        <w:numPr>
          <w:ilvl w:val="0"/>
          <w:numId w:val="15"/>
        </w:numPr>
      </w:pPr>
      <w:r>
        <w:t>非钢材通胀+关税仍是全年剩余时间的成本压力项(整体可控)</w:t>
      </w:r>
    </w:p>
    <w:p w14:paraId="02271599" w14:textId="0DE7C3DB" w:rsidR="00CE37F9" w:rsidRDefault="00CE37F9" w:rsidP="00CE37F9">
      <w:pPr>
        <w:rPr>
          <w:rFonts w:hint="eastAsia"/>
        </w:rPr>
      </w:pPr>
      <w:r>
        <w:t>提价节奏(直接影响下半年/2027年模型)</w:t>
      </w:r>
    </w:p>
    <w:p w14:paraId="30744E6C" w14:textId="77777777" w:rsidR="00CE37F9" w:rsidRDefault="00CE37F9" w:rsidP="00CE37F9">
      <w:pPr>
        <w:pStyle w:val="a9"/>
        <w:numPr>
          <w:ilvl w:val="0"/>
          <w:numId w:val="16"/>
        </w:numPr>
      </w:pPr>
      <w:r>
        <w:t>热水器业务4%-7%提价,原计划提前但推迟约1个月,预计2026年Q3中期生效,Q4体现全部收益</w:t>
      </w:r>
    </w:p>
    <w:p w14:paraId="5D74D49D" w14:textId="1CBB722C" w:rsidR="00CE37F9" w:rsidRDefault="00CE37F9" w:rsidP="00CE37F9">
      <w:pPr>
        <w:pStyle w:val="a9"/>
        <w:numPr>
          <w:ilvl w:val="0"/>
          <w:numId w:val="16"/>
        </w:numPr>
        <w:rPr>
          <w:rFonts w:hint="eastAsia"/>
        </w:rPr>
      </w:pPr>
      <w:r>
        <w:t>下半年价本关系整体趋于中性;Q3利润率预计与Q1相近(低于Q2/Q4),Q4完全享受提价收益</w:t>
      </w:r>
    </w:p>
    <w:p w14:paraId="2B50F222" w14:textId="0DED51EA" w:rsidR="00CE37F9" w:rsidRDefault="00CE37F9" w:rsidP="00CE37F9">
      <w:pPr>
        <w:rPr>
          <w:rFonts w:hint="eastAsia"/>
        </w:rPr>
      </w:pPr>
      <w:r>
        <w:lastRenderedPageBreak/>
        <w:t>资本分配</w:t>
      </w:r>
    </w:p>
    <w:p w14:paraId="5B65D898" w14:textId="77777777" w:rsidR="00CE37F9" w:rsidRDefault="00CE37F9" w:rsidP="00CE37F9">
      <w:pPr>
        <w:pStyle w:val="a9"/>
        <w:numPr>
          <w:ilvl w:val="0"/>
          <w:numId w:val="17"/>
        </w:numPr>
      </w:pPr>
      <w:r>
        <w:t>季度股息 $0.36/股</w:t>
      </w:r>
    </w:p>
    <w:p w14:paraId="6D331BAE" w14:textId="77777777" w:rsidR="00CE37F9" w:rsidRDefault="00CE37F9" w:rsidP="00CE37F9">
      <w:pPr>
        <w:pStyle w:val="a9"/>
        <w:numPr>
          <w:ilvl w:val="0"/>
          <w:numId w:val="17"/>
        </w:numPr>
      </w:pPr>
      <w:r>
        <w:t>2026年回购目标由$2亿上调50%至$3亿(上半年已回购1.62亿美元/260万股)</w:t>
      </w:r>
    </w:p>
    <w:p w14:paraId="5D44C6E6" w14:textId="0DAAB59A" w:rsidR="00CE37F9" w:rsidRDefault="00CE37F9" w:rsidP="00CE37F9">
      <w:pPr>
        <w:pStyle w:val="a9"/>
        <w:numPr>
          <w:ilvl w:val="0"/>
          <w:numId w:val="17"/>
        </w:numPr>
        <w:rPr>
          <w:rFonts w:hint="eastAsia"/>
        </w:rPr>
      </w:pPr>
      <w:r>
        <w:t>资本分配优先级不变:投资组合管理 &gt; 有机创新增长 &gt; 运营效率 &gt; 并购</w:t>
      </w:r>
    </w:p>
    <w:p w14:paraId="3DC4A8C0" w14:textId="2373454E" w:rsidR="00CE37F9" w:rsidRDefault="00CE37F9" w:rsidP="00CE37F9">
      <w:pPr>
        <w:rPr>
          <w:rFonts w:hint="eastAsia"/>
        </w:rPr>
      </w:pPr>
      <w:r>
        <w:t>关键不确定性</w:t>
      </w:r>
    </w:p>
    <w:p w14:paraId="69977907" w14:textId="0B183906" w:rsidR="00ED56B3" w:rsidRDefault="00CE37F9" w:rsidP="00ED56B3">
      <w:pPr>
        <w:pStyle w:val="a9"/>
        <w:numPr>
          <w:ilvl w:val="0"/>
          <w:numId w:val="18"/>
        </w:numPr>
        <w:rPr>
          <w:rFonts w:hint="eastAsia"/>
        </w:rPr>
      </w:pPr>
      <w:r>
        <w:t>中国业务战略评估接近完成,预计2026年Q3业绩电话会公布最终方案(独立运营/合作/第三方主导等选项均在考量中)—</w:t>
      </w:r>
    </w:p>
    <w:p w14:paraId="68B64775" w14:textId="75968AA3" w:rsidR="00B634D2" w:rsidRDefault="00B3452C">
      <w:r w:rsidRPr="00B3452C">
        <w:drawing>
          <wp:inline distT="0" distB="0" distL="0" distR="0" wp14:anchorId="2B518D78" wp14:editId="1E5FBDB1">
            <wp:extent cx="6206067" cy="1867868"/>
            <wp:effectExtent l="0" t="0" r="4445" b="0"/>
            <wp:docPr id="145859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9268" name=""/>
                    <pic:cNvPicPr/>
                  </pic:nvPicPr>
                  <pic:blipFill>
                    <a:blip r:embed="rId37"/>
                    <a:stretch>
                      <a:fillRect/>
                    </a:stretch>
                  </pic:blipFill>
                  <pic:spPr>
                    <a:xfrm>
                      <a:off x="0" y="0"/>
                      <a:ext cx="6233563" cy="1876143"/>
                    </a:xfrm>
                    <a:prstGeom prst="rect">
                      <a:avLst/>
                    </a:prstGeom>
                  </pic:spPr>
                </pic:pic>
              </a:graphicData>
            </a:graphic>
          </wp:inline>
        </w:drawing>
      </w:r>
    </w:p>
    <w:p w14:paraId="3EFE1AAE" w14:textId="268DD311" w:rsidR="00B634D2" w:rsidRDefault="00D06D98">
      <w:r w:rsidRPr="00D06D98">
        <w:drawing>
          <wp:inline distT="0" distB="0" distL="0" distR="0" wp14:anchorId="29E6E980" wp14:editId="25321022">
            <wp:extent cx="6645910" cy="2835910"/>
            <wp:effectExtent l="0" t="0" r="0" b="0"/>
            <wp:docPr id="1823858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58217" name=""/>
                    <pic:cNvPicPr/>
                  </pic:nvPicPr>
                  <pic:blipFill>
                    <a:blip r:embed="rId38"/>
                    <a:stretch>
                      <a:fillRect/>
                    </a:stretch>
                  </pic:blipFill>
                  <pic:spPr>
                    <a:xfrm>
                      <a:off x="0" y="0"/>
                      <a:ext cx="6645910" cy="2835910"/>
                    </a:xfrm>
                    <a:prstGeom prst="rect">
                      <a:avLst/>
                    </a:prstGeom>
                  </pic:spPr>
                </pic:pic>
              </a:graphicData>
            </a:graphic>
          </wp:inline>
        </w:drawing>
      </w:r>
    </w:p>
    <w:p w14:paraId="6A94EFD5" w14:textId="07C8DE38" w:rsidR="00A7137B" w:rsidRDefault="00A7137B">
      <w:pPr>
        <w:rPr>
          <w:rFonts w:hint="eastAsia"/>
        </w:rPr>
      </w:pPr>
      <w:r w:rsidRPr="00A7137B">
        <w:lastRenderedPageBreak/>
        <w:drawing>
          <wp:inline distT="0" distB="0" distL="0" distR="0" wp14:anchorId="4001B281" wp14:editId="08C9718D">
            <wp:extent cx="6645910" cy="3035935"/>
            <wp:effectExtent l="0" t="0" r="0" b="0"/>
            <wp:docPr id="964861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61450" name=""/>
                    <pic:cNvPicPr/>
                  </pic:nvPicPr>
                  <pic:blipFill>
                    <a:blip r:embed="rId39"/>
                    <a:stretch>
                      <a:fillRect/>
                    </a:stretch>
                  </pic:blipFill>
                  <pic:spPr>
                    <a:xfrm>
                      <a:off x="0" y="0"/>
                      <a:ext cx="6645910" cy="3035935"/>
                    </a:xfrm>
                    <a:prstGeom prst="rect">
                      <a:avLst/>
                    </a:prstGeom>
                  </pic:spPr>
                </pic:pic>
              </a:graphicData>
            </a:graphic>
          </wp:inline>
        </w:drawing>
      </w:r>
    </w:p>
    <w:p w14:paraId="0C96B36C" w14:textId="5FFD3E64" w:rsidR="00356C93" w:rsidRPr="00356C93" w:rsidRDefault="00356C93" w:rsidP="00356C93">
      <w:pPr>
        <w:rPr>
          <w:rFonts w:hint="eastAsia"/>
          <w:b/>
          <w:bCs/>
        </w:rPr>
      </w:pPr>
      <w:r w:rsidRPr="00356C93">
        <w:rPr>
          <w:b/>
          <w:bCs/>
        </w:rPr>
        <w:t>核心分歧点</w:t>
      </w:r>
    </w:p>
    <w:p w14:paraId="0C6DE046" w14:textId="77777777" w:rsidR="00356C93" w:rsidRDefault="00356C93" w:rsidP="00356C93">
      <w:pPr>
        <w:pStyle w:val="a9"/>
        <w:numPr>
          <w:ilvl w:val="0"/>
          <w:numId w:val="18"/>
        </w:numPr>
      </w:pPr>
      <w:r>
        <w:t>三家对2Q26业绩的判断一致：调整后EPS $1.03全面超预期（JPM/Citi/UBS的预期分别为$0.96/$0.94/$0.98，一致预期为$0.95），营收$1,004M小幅超预期，北美利润率24.4%超预期，海外（ROW/中国为主）利润率5.2%也超预期。三家都指出2Q的超预期部分来自客户在提价前的抢购（pre-buy），这会透支3Q需求——这也是JPM给出Underweight评级、UBS标题直接叫"Better than feared"（言下之意即"没那么差，但也不算好"）的共同逻辑基础。</w:t>
      </w:r>
    </w:p>
    <w:p w14:paraId="6E418D15" w14:textId="77777777" w:rsidR="00356C93" w:rsidRDefault="00356C93" w:rsidP="00356C93">
      <w:pPr>
        <w:pStyle w:val="a9"/>
        <w:numPr>
          <w:ilvl w:val="0"/>
          <w:numId w:val="18"/>
        </w:numPr>
      </w:pPr>
      <w:r>
        <w:t>JPM最悲观的原因：认为$60目标价对应的10x EBITDA已经是"较历史均值折价"，理由是中国市场复苏延迟+销量压力仍未见底；JPM明确将中国业务的战略性剥离列为潜在正面催化剂（"A divestiture of AOS's China business could serve as a positive catalyst"）——这与2026Q2财报电话会中管理层披露的"中国业务战略评估将于3Q26财报电话会公布结论"直接对应，是三份报告中唯一具体提及这一潜在事件驱动的。</w:t>
      </w:r>
    </w:p>
    <w:p w14:paraId="63CE4C8C" w14:textId="77777777" w:rsidR="00356C93" w:rsidRDefault="00356C93" w:rsidP="00356C93">
      <w:pPr>
        <w:pStyle w:val="a9"/>
        <w:numPr>
          <w:ilvl w:val="0"/>
          <w:numId w:val="18"/>
        </w:numPr>
      </w:pPr>
      <w:r>
        <w:t>Citi的独特视角：明确提到公司下调了美国住宅热水器行业展望（从"持平"下调至"低个位数下降"），并强调下半年钢材成本环比上半年通胀更高+关税影响略高于预期，是三家中对成本端着墨最多的；同时给出了清晰的Bull/Base/Bear三档目标价（$78/$64/$44），估值区间最宽。</w:t>
      </w:r>
    </w:p>
    <w:p w14:paraId="7C5B82AE" w14:textId="77777777" w:rsidR="00356C93" w:rsidRDefault="00356C93" w:rsidP="00356C93">
      <w:pPr>
        <w:pStyle w:val="a9"/>
        <w:numPr>
          <w:ilvl w:val="0"/>
          <w:numId w:val="18"/>
        </w:numPr>
      </w:pPr>
      <w:r>
        <w:t>UBS最温和/正面：认为市场对下调指引已price-in（"largely getting built into expectations"），预计股价反应会较平淡；$68目标价三家最高，且是唯一一家维持目标价不变（未下调）的。UBS的财务预测中还给出了一个值得注意的细节——FY26E净债务转正（-$261M净现金→实为净债务），随后FY27-30E逐步转为净现金并快速累积（FY30E达$1,081M净现金），反映的是回购节奏与自由现金流增长的模型假设。</w:t>
      </w:r>
    </w:p>
    <w:p w14:paraId="5DB135A9" w14:textId="77777777" w:rsidR="00356C93" w:rsidRDefault="00356C93" w:rsidP="00356C93"/>
    <w:p w14:paraId="34A500EE" w14:textId="7264762C" w:rsidR="00B634D2" w:rsidRDefault="00356C93" w:rsidP="00356C93">
      <w:r>
        <w:t>三家的共识风险因素：中国消费需求疲软（本币口径2Q26下滑28%）、美国住宅热水器新房需求疲软、钢材成本下半年抬升、提价（4-7%，3Q26中期生效）能否顺利落地传导。这些都与此前已读的2026Q2财报电话会内容高度吻合。</w:t>
      </w:r>
    </w:p>
    <w:p w14:paraId="53A9E8FE" w14:textId="77777777" w:rsidR="00B634D2" w:rsidRDefault="00B634D2"/>
    <w:p w14:paraId="443A915D" w14:textId="77777777" w:rsidR="00B634D2" w:rsidRDefault="00B634D2"/>
    <w:p w14:paraId="6996C2A0" w14:textId="77777777" w:rsidR="00B634D2" w:rsidRDefault="00B634D2">
      <w:pPr>
        <w:rPr>
          <w:rFonts w:hint="eastAsia"/>
        </w:rPr>
      </w:pPr>
    </w:p>
    <w:p w14:paraId="6D8110DB" w14:textId="77777777" w:rsidR="00EC0696" w:rsidRDefault="00EC0696">
      <w:pPr>
        <w:rPr>
          <w:rFonts w:hint="eastAsia"/>
        </w:rPr>
      </w:pPr>
    </w:p>
    <w:p w14:paraId="2618F35B" w14:textId="77777777" w:rsidR="00770A8C" w:rsidRDefault="00770A8C">
      <w:pPr>
        <w:rPr>
          <w:rFonts w:hint="eastAsia"/>
        </w:rPr>
      </w:pPr>
    </w:p>
    <w:sectPr w:rsidR="00770A8C" w:rsidSect="00BD6496">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4741DB"/>
    <w:multiLevelType w:val="hybridMultilevel"/>
    <w:tmpl w:val="494EA3E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03F619E6"/>
    <w:multiLevelType w:val="hybridMultilevel"/>
    <w:tmpl w:val="AB58C3F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161F4686"/>
    <w:multiLevelType w:val="hybridMultilevel"/>
    <w:tmpl w:val="89BC5BF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 w15:restartNumberingAfterBreak="0">
    <w:nsid w:val="19854022"/>
    <w:multiLevelType w:val="hybridMultilevel"/>
    <w:tmpl w:val="D3EEF94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240B62FA"/>
    <w:multiLevelType w:val="multilevel"/>
    <w:tmpl w:val="B7FA9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AA23F4"/>
    <w:multiLevelType w:val="hybridMultilevel"/>
    <w:tmpl w:val="920AF8D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29E3333E"/>
    <w:multiLevelType w:val="hybridMultilevel"/>
    <w:tmpl w:val="0B3656B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7" w15:restartNumberingAfterBreak="0">
    <w:nsid w:val="2AB47C16"/>
    <w:multiLevelType w:val="hybridMultilevel"/>
    <w:tmpl w:val="255EF25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2C671A1C"/>
    <w:multiLevelType w:val="multilevel"/>
    <w:tmpl w:val="9C0AA63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C671AD5"/>
    <w:multiLevelType w:val="hybridMultilevel"/>
    <w:tmpl w:val="107605C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 w15:restartNumberingAfterBreak="0">
    <w:nsid w:val="41AD46D7"/>
    <w:multiLevelType w:val="hybridMultilevel"/>
    <w:tmpl w:val="D3782E2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 w15:restartNumberingAfterBreak="0">
    <w:nsid w:val="433A4A44"/>
    <w:multiLevelType w:val="hybridMultilevel"/>
    <w:tmpl w:val="A1CCBAD2"/>
    <w:lvl w:ilvl="0" w:tplc="202ECE8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B4F422C"/>
    <w:multiLevelType w:val="hybridMultilevel"/>
    <w:tmpl w:val="B1F6A6B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5E1F1349"/>
    <w:multiLevelType w:val="hybridMultilevel"/>
    <w:tmpl w:val="50C2A7F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65A93E46"/>
    <w:multiLevelType w:val="multilevel"/>
    <w:tmpl w:val="779AE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ED6F10"/>
    <w:multiLevelType w:val="hybridMultilevel"/>
    <w:tmpl w:val="2716EB4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6CB35318"/>
    <w:multiLevelType w:val="hybridMultilevel"/>
    <w:tmpl w:val="13AAB78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7" w15:restartNumberingAfterBreak="0">
    <w:nsid w:val="7E416096"/>
    <w:multiLevelType w:val="hybridMultilevel"/>
    <w:tmpl w:val="6C2A187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23276127">
    <w:abstractNumId w:val="4"/>
  </w:num>
  <w:num w:numId="2" w16cid:durableId="1870684080">
    <w:abstractNumId w:val="8"/>
  </w:num>
  <w:num w:numId="3" w16cid:durableId="1484538826">
    <w:abstractNumId w:val="14"/>
  </w:num>
  <w:num w:numId="4" w16cid:durableId="936518113">
    <w:abstractNumId w:val="17"/>
  </w:num>
  <w:num w:numId="5" w16cid:durableId="1511522733">
    <w:abstractNumId w:val="15"/>
  </w:num>
  <w:num w:numId="6" w16cid:durableId="446583540">
    <w:abstractNumId w:val="5"/>
  </w:num>
  <w:num w:numId="7" w16cid:durableId="1442139580">
    <w:abstractNumId w:val="16"/>
  </w:num>
  <w:num w:numId="8" w16cid:durableId="706955047">
    <w:abstractNumId w:val="13"/>
  </w:num>
  <w:num w:numId="9" w16cid:durableId="1671789230">
    <w:abstractNumId w:val="9"/>
  </w:num>
  <w:num w:numId="10" w16cid:durableId="1484354743">
    <w:abstractNumId w:val="12"/>
  </w:num>
  <w:num w:numId="11" w16cid:durableId="978147314">
    <w:abstractNumId w:val="7"/>
  </w:num>
  <w:num w:numId="12" w16cid:durableId="579406070">
    <w:abstractNumId w:val="0"/>
  </w:num>
  <w:num w:numId="13" w16cid:durableId="1670252103">
    <w:abstractNumId w:val="1"/>
  </w:num>
  <w:num w:numId="14" w16cid:durableId="449278276">
    <w:abstractNumId w:val="11"/>
  </w:num>
  <w:num w:numId="15" w16cid:durableId="571887191">
    <w:abstractNumId w:val="2"/>
  </w:num>
  <w:num w:numId="16" w16cid:durableId="1382637065">
    <w:abstractNumId w:val="10"/>
  </w:num>
  <w:num w:numId="17" w16cid:durableId="980379725">
    <w:abstractNumId w:val="6"/>
  </w:num>
  <w:num w:numId="18" w16cid:durableId="181078394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496"/>
    <w:rsid w:val="0000007C"/>
    <w:rsid w:val="0000312A"/>
    <w:rsid w:val="00006D8C"/>
    <w:rsid w:val="00031D82"/>
    <w:rsid w:val="00032EB5"/>
    <w:rsid w:val="00036650"/>
    <w:rsid w:val="00052C75"/>
    <w:rsid w:val="0006070A"/>
    <w:rsid w:val="00076AB8"/>
    <w:rsid w:val="00087157"/>
    <w:rsid w:val="000924FC"/>
    <w:rsid w:val="000B030D"/>
    <w:rsid w:val="000C0954"/>
    <w:rsid w:val="000D0A17"/>
    <w:rsid w:val="000D4477"/>
    <w:rsid w:val="000E2035"/>
    <w:rsid w:val="000E3FFE"/>
    <w:rsid w:val="000E53A1"/>
    <w:rsid w:val="000F26F0"/>
    <w:rsid w:val="0010713C"/>
    <w:rsid w:val="00107BB3"/>
    <w:rsid w:val="0012106C"/>
    <w:rsid w:val="00144ECB"/>
    <w:rsid w:val="001478A1"/>
    <w:rsid w:val="001551B4"/>
    <w:rsid w:val="0015749E"/>
    <w:rsid w:val="001601CD"/>
    <w:rsid w:val="00162532"/>
    <w:rsid w:val="00165646"/>
    <w:rsid w:val="00166756"/>
    <w:rsid w:val="00175E5B"/>
    <w:rsid w:val="00184F71"/>
    <w:rsid w:val="00190199"/>
    <w:rsid w:val="0019322E"/>
    <w:rsid w:val="001A3458"/>
    <w:rsid w:val="001A4A0F"/>
    <w:rsid w:val="001A6143"/>
    <w:rsid w:val="001C2075"/>
    <w:rsid w:val="001C6EB3"/>
    <w:rsid w:val="001D2403"/>
    <w:rsid w:val="001D7A50"/>
    <w:rsid w:val="001F3C1E"/>
    <w:rsid w:val="00203A24"/>
    <w:rsid w:val="0022012B"/>
    <w:rsid w:val="002229DC"/>
    <w:rsid w:val="0022412C"/>
    <w:rsid w:val="00224A40"/>
    <w:rsid w:val="002324D3"/>
    <w:rsid w:val="002555D9"/>
    <w:rsid w:val="00255924"/>
    <w:rsid w:val="00265627"/>
    <w:rsid w:val="00277ECF"/>
    <w:rsid w:val="00283CA8"/>
    <w:rsid w:val="002A0BA9"/>
    <w:rsid w:val="002A25D4"/>
    <w:rsid w:val="002A7ABA"/>
    <w:rsid w:val="002B0D7D"/>
    <w:rsid w:val="002B72F9"/>
    <w:rsid w:val="002C793E"/>
    <w:rsid w:val="002D6019"/>
    <w:rsid w:val="00301D91"/>
    <w:rsid w:val="0034059B"/>
    <w:rsid w:val="00342C91"/>
    <w:rsid w:val="00343013"/>
    <w:rsid w:val="0034456E"/>
    <w:rsid w:val="00347EE3"/>
    <w:rsid w:val="00356C93"/>
    <w:rsid w:val="0036179B"/>
    <w:rsid w:val="00376E17"/>
    <w:rsid w:val="00394894"/>
    <w:rsid w:val="003A092C"/>
    <w:rsid w:val="003C00F0"/>
    <w:rsid w:val="003C6F70"/>
    <w:rsid w:val="003C72AA"/>
    <w:rsid w:val="003D5240"/>
    <w:rsid w:val="003E1C1D"/>
    <w:rsid w:val="003F5D36"/>
    <w:rsid w:val="00415DA3"/>
    <w:rsid w:val="00430007"/>
    <w:rsid w:val="004509BE"/>
    <w:rsid w:val="00472A1D"/>
    <w:rsid w:val="00486F36"/>
    <w:rsid w:val="00495F6F"/>
    <w:rsid w:val="004A2453"/>
    <w:rsid w:val="004A591D"/>
    <w:rsid w:val="004B25E6"/>
    <w:rsid w:val="004B4696"/>
    <w:rsid w:val="004B7CB8"/>
    <w:rsid w:val="004C609B"/>
    <w:rsid w:val="004D14E1"/>
    <w:rsid w:val="00524FF6"/>
    <w:rsid w:val="00552F65"/>
    <w:rsid w:val="00563565"/>
    <w:rsid w:val="0057772C"/>
    <w:rsid w:val="00581B07"/>
    <w:rsid w:val="005871B9"/>
    <w:rsid w:val="005A34AD"/>
    <w:rsid w:val="005B5D9E"/>
    <w:rsid w:val="005E1423"/>
    <w:rsid w:val="005E3B78"/>
    <w:rsid w:val="005E73FD"/>
    <w:rsid w:val="005E7883"/>
    <w:rsid w:val="00604C96"/>
    <w:rsid w:val="00610510"/>
    <w:rsid w:val="006139F3"/>
    <w:rsid w:val="0061667E"/>
    <w:rsid w:val="00624EAA"/>
    <w:rsid w:val="00667883"/>
    <w:rsid w:val="00686847"/>
    <w:rsid w:val="006A0277"/>
    <w:rsid w:val="006A0626"/>
    <w:rsid w:val="006A4549"/>
    <w:rsid w:val="006C61A6"/>
    <w:rsid w:val="006E59DC"/>
    <w:rsid w:val="006F7BC9"/>
    <w:rsid w:val="00700B3E"/>
    <w:rsid w:val="00700D5F"/>
    <w:rsid w:val="00702226"/>
    <w:rsid w:val="0071718B"/>
    <w:rsid w:val="00724250"/>
    <w:rsid w:val="00724813"/>
    <w:rsid w:val="007307A9"/>
    <w:rsid w:val="007424C6"/>
    <w:rsid w:val="00751DCA"/>
    <w:rsid w:val="0076182B"/>
    <w:rsid w:val="0076756D"/>
    <w:rsid w:val="00770381"/>
    <w:rsid w:val="00770A8C"/>
    <w:rsid w:val="00795A32"/>
    <w:rsid w:val="007A0111"/>
    <w:rsid w:val="007A0F80"/>
    <w:rsid w:val="007A23DC"/>
    <w:rsid w:val="007B24AA"/>
    <w:rsid w:val="007C0394"/>
    <w:rsid w:val="007D49CC"/>
    <w:rsid w:val="007D5D13"/>
    <w:rsid w:val="007E1A79"/>
    <w:rsid w:val="0082744D"/>
    <w:rsid w:val="00846FBB"/>
    <w:rsid w:val="00847674"/>
    <w:rsid w:val="0086003E"/>
    <w:rsid w:val="00870F52"/>
    <w:rsid w:val="00874220"/>
    <w:rsid w:val="008803D0"/>
    <w:rsid w:val="00881C24"/>
    <w:rsid w:val="00891A64"/>
    <w:rsid w:val="008A39A9"/>
    <w:rsid w:val="008A56F7"/>
    <w:rsid w:val="008C12CC"/>
    <w:rsid w:val="008D0EEB"/>
    <w:rsid w:val="008D3A0A"/>
    <w:rsid w:val="008F2850"/>
    <w:rsid w:val="008F4FF2"/>
    <w:rsid w:val="00903F90"/>
    <w:rsid w:val="00904BD6"/>
    <w:rsid w:val="00906CAF"/>
    <w:rsid w:val="0091417D"/>
    <w:rsid w:val="00922480"/>
    <w:rsid w:val="00923FD0"/>
    <w:rsid w:val="00924A76"/>
    <w:rsid w:val="00924C50"/>
    <w:rsid w:val="009304E0"/>
    <w:rsid w:val="009408F7"/>
    <w:rsid w:val="00947045"/>
    <w:rsid w:val="00954E06"/>
    <w:rsid w:val="0099416F"/>
    <w:rsid w:val="00997ECB"/>
    <w:rsid w:val="009C263A"/>
    <w:rsid w:val="009E69BD"/>
    <w:rsid w:val="009F4357"/>
    <w:rsid w:val="00A10DA5"/>
    <w:rsid w:val="00A2191A"/>
    <w:rsid w:val="00A301B2"/>
    <w:rsid w:val="00A41183"/>
    <w:rsid w:val="00A62244"/>
    <w:rsid w:val="00A7137B"/>
    <w:rsid w:val="00A82153"/>
    <w:rsid w:val="00A87823"/>
    <w:rsid w:val="00AB6F09"/>
    <w:rsid w:val="00AC0549"/>
    <w:rsid w:val="00AC2B83"/>
    <w:rsid w:val="00AC5AB2"/>
    <w:rsid w:val="00AD27C3"/>
    <w:rsid w:val="00AE1487"/>
    <w:rsid w:val="00AE28E9"/>
    <w:rsid w:val="00B00A0D"/>
    <w:rsid w:val="00B127DB"/>
    <w:rsid w:val="00B17808"/>
    <w:rsid w:val="00B3452C"/>
    <w:rsid w:val="00B35A84"/>
    <w:rsid w:val="00B36D58"/>
    <w:rsid w:val="00B472D5"/>
    <w:rsid w:val="00B57683"/>
    <w:rsid w:val="00B634D2"/>
    <w:rsid w:val="00B72953"/>
    <w:rsid w:val="00B9377B"/>
    <w:rsid w:val="00BA5D06"/>
    <w:rsid w:val="00BB08AA"/>
    <w:rsid w:val="00BD3E3B"/>
    <w:rsid w:val="00BD6496"/>
    <w:rsid w:val="00BF00E4"/>
    <w:rsid w:val="00C045F4"/>
    <w:rsid w:val="00C070AD"/>
    <w:rsid w:val="00C27242"/>
    <w:rsid w:val="00C3699A"/>
    <w:rsid w:val="00C36A77"/>
    <w:rsid w:val="00C56294"/>
    <w:rsid w:val="00C60324"/>
    <w:rsid w:val="00C671FA"/>
    <w:rsid w:val="00C716C2"/>
    <w:rsid w:val="00C741A5"/>
    <w:rsid w:val="00C84639"/>
    <w:rsid w:val="00CA51A8"/>
    <w:rsid w:val="00CB0137"/>
    <w:rsid w:val="00CD0F89"/>
    <w:rsid w:val="00CD3002"/>
    <w:rsid w:val="00CD7913"/>
    <w:rsid w:val="00CE37F9"/>
    <w:rsid w:val="00D01CB9"/>
    <w:rsid w:val="00D06D98"/>
    <w:rsid w:val="00D14695"/>
    <w:rsid w:val="00D14B47"/>
    <w:rsid w:val="00D35828"/>
    <w:rsid w:val="00D35F87"/>
    <w:rsid w:val="00D4238D"/>
    <w:rsid w:val="00D43508"/>
    <w:rsid w:val="00D46831"/>
    <w:rsid w:val="00D47C0B"/>
    <w:rsid w:val="00D52072"/>
    <w:rsid w:val="00D6187A"/>
    <w:rsid w:val="00D671C7"/>
    <w:rsid w:val="00D84FB3"/>
    <w:rsid w:val="00D86C34"/>
    <w:rsid w:val="00D90442"/>
    <w:rsid w:val="00D91EB5"/>
    <w:rsid w:val="00D937B0"/>
    <w:rsid w:val="00DD6E7A"/>
    <w:rsid w:val="00DE68D5"/>
    <w:rsid w:val="00DF73D7"/>
    <w:rsid w:val="00E06F30"/>
    <w:rsid w:val="00E179B2"/>
    <w:rsid w:val="00E250BA"/>
    <w:rsid w:val="00E34807"/>
    <w:rsid w:val="00E37F98"/>
    <w:rsid w:val="00E454C1"/>
    <w:rsid w:val="00E4569D"/>
    <w:rsid w:val="00E5206A"/>
    <w:rsid w:val="00E80945"/>
    <w:rsid w:val="00EA09E0"/>
    <w:rsid w:val="00EA3F2B"/>
    <w:rsid w:val="00EB07B4"/>
    <w:rsid w:val="00EC0696"/>
    <w:rsid w:val="00EC2BB4"/>
    <w:rsid w:val="00EC3C2C"/>
    <w:rsid w:val="00ED4841"/>
    <w:rsid w:val="00ED56B3"/>
    <w:rsid w:val="00F13A7E"/>
    <w:rsid w:val="00F33D65"/>
    <w:rsid w:val="00F75BAA"/>
    <w:rsid w:val="00F9061B"/>
    <w:rsid w:val="00FA3A75"/>
    <w:rsid w:val="00FC0390"/>
    <w:rsid w:val="00FC2F5F"/>
    <w:rsid w:val="00FC464F"/>
    <w:rsid w:val="00FD24DB"/>
    <w:rsid w:val="00FD49A1"/>
    <w:rsid w:val="00FE6017"/>
    <w:rsid w:val="00FE7FCB"/>
    <w:rsid w:val="00FF07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7BD2CD8"/>
  <w15:chartTrackingRefBased/>
  <w15:docId w15:val="{99714BCF-4BD5-F44D-944D-19061779B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D649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D649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D649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D649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D649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D649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D649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D649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D649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D649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D649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D649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D6496"/>
    <w:rPr>
      <w:rFonts w:cstheme="majorBidi"/>
      <w:color w:val="0F4761" w:themeColor="accent1" w:themeShade="BF"/>
      <w:sz w:val="28"/>
      <w:szCs w:val="28"/>
    </w:rPr>
  </w:style>
  <w:style w:type="character" w:customStyle="1" w:styleId="50">
    <w:name w:val="标题 5 字符"/>
    <w:basedOn w:val="a0"/>
    <w:link w:val="5"/>
    <w:uiPriority w:val="9"/>
    <w:semiHidden/>
    <w:rsid w:val="00BD6496"/>
    <w:rPr>
      <w:rFonts w:cstheme="majorBidi"/>
      <w:color w:val="0F4761" w:themeColor="accent1" w:themeShade="BF"/>
      <w:sz w:val="24"/>
    </w:rPr>
  </w:style>
  <w:style w:type="character" w:customStyle="1" w:styleId="60">
    <w:name w:val="标题 6 字符"/>
    <w:basedOn w:val="a0"/>
    <w:link w:val="6"/>
    <w:uiPriority w:val="9"/>
    <w:semiHidden/>
    <w:rsid w:val="00BD6496"/>
    <w:rPr>
      <w:rFonts w:cstheme="majorBidi"/>
      <w:b/>
      <w:bCs/>
      <w:color w:val="0F4761" w:themeColor="accent1" w:themeShade="BF"/>
    </w:rPr>
  </w:style>
  <w:style w:type="character" w:customStyle="1" w:styleId="70">
    <w:name w:val="标题 7 字符"/>
    <w:basedOn w:val="a0"/>
    <w:link w:val="7"/>
    <w:uiPriority w:val="9"/>
    <w:semiHidden/>
    <w:rsid w:val="00BD6496"/>
    <w:rPr>
      <w:rFonts w:cstheme="majorBidi"/>
      <w:b/>
      <w:bCs/>
      <w:color w:val="595959" w:themeColor="text1" w:themeTint="A6"/>
    </w:rPr>
  </w:style>
  <w:style w:type="character" w:customStyle="1" w:styleId="80">
    <w:name w:val="标题 8 字符"/>
    <w:basedOn w:val="a0"/>
    <w:link w:val="8"/>
    <w:uiPriority w:val="9"/>
    <w:semiHidden/>
    <w:rsid w:val="00BD6496"/>
    <w:rPr>
      <w:rFonts w:cstheme="majorBidi"/>
      <w:color w:val="595959" w:themeColor="text1" w:themeTint="A6"/>
    </w:rPr>
  </w:style>
  <w:style w:type="character" w:customStyle="1" w:styleId="90">
    <w:name w:val="标题 9 字符"/>
    <w:basedOn w:val="a0"/>
    <w:link w:val="9"/>
    <w:uiPriority w:val="9"/>
    <w:semiHidden/>
    <w:rsid w:val="00BD6496"/>
    <w:rPr>
      <w:rFonts w:eastAsiaTheme="majorEastAsia" w:cstheme="majorBidi"/>
      <w:color w:val="595959" w:themeColor="text1" w:themeTint="A6"/>
    </w:rPr>
  </w:style>
  <w:style w:type="paragraph" w:styleId="a3">
    <w:name w:val="Title"/>
    <w:basedOn w:val="a"/>
    <w:next w:val="a"/>
    <w:link w:val="a4"/>
    <w:uiPriority w:val="10"/>
    <w:qFormat/>
    <w:rsid w:val="00BD649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D64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649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D649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D6496"/>
    <w:pPr>
      <w:spacing w:before="160"/>
      <w:jc w:val="center"/>
    </w:pPr>
    <w:rPr>
      <w:i/>
      <w:iCs/>
      <w:color w:val="404040" w:themeColor="text1" w:themeTint="BF"/>
    </w:rPr>
  </w:style>
  <w:style w:type="character" w:customStyle="1" w:styleId="a8">
    <w:name w:val="引用 字符"/>
    <w:basedOn w:val="a0"/>
    <w:link w:val="a7"/>
    <w:uiPriority w:val="29"/>
    <w:rsid w:val="00BD6496"/>
    <w:rPr>
      <w:i/>
      <w:iCs/>
      <w:color w:val="404040" w:themeColor="text1" w:themeTint="BF"/>
    </w:rPr>
  </w:style>
  <w:style w:type="paragraph" w:styleId="a9">
    <w:name w:val="List Paragraph"/>
    <w:basedOn w:val="a"/>
    <w:uiPriority w:val="34"/>
    <w:qFormat/>
    <w:rsid w:val="00BD6496"/>
    <w:pPr>
      <w:ind w:left="720"/>
      <w:contextualSpacing/>
    </w:pPr>
  </w:style>
  <w:style w:type="character" w:styleId="aa">
    <w:name w:val="Intense Emphasis"/>
    <w:basedOn w:val="a0"/>
    <w:uiPriority w:val="21"/>
    <w:qFormat/>
    <w:rsid w:val="00BD6496"/>
    <w:rPr>
      <w:i/>
      <w:iCs/>
      <w:color w:val="0F4761" w:themeColor="accent1" w:themeShade="BF"/>
    </w:rPr>
  </w:style>
  <w:style w:type="paragraph" w:styleId="ab">
    <w:name w:val="Intense Quote"/>
    <w:basedOn w:val="a"/>
    <w:next w:val="a"/>
    <w:link w:val="ac"/>
    <w:uiPriority w:val="30"/>
    <w:qFormat/>
    <w:rsid w:val="00BD6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D6496"/>
    <w:rPr>
      <w:i/>
      <w:iCs/>
      <w:color w:val="0F4761" w:themeColor="accent1" w:themeShade="BF"/>
    </w:rPr>
  </w:style>
  <w:style w:type="character" w:styleId="ad">
    <w:name w:val="Intense Reference"/>
    <w:basedOn w:val="a0"/>
    <w:uiPriority w:val="32"/>
    <w:qFormat/>
    <w:rsid w:val="00BD6496"/>
    <w:rPr>
      <w:b/>
      <w:bCs/>
      <w:smallCaps/>
      <w:color w:val="0F4761" w:themeColor="accent1" w:themeShade="BF"/>
      <w:spacing w:val="5"/>
    </w:rPr>
  </w:style>
  <w:style w:type="paragraph" w:styleId="ae">
    <w:name w:val="Normal (Web)"/>
    <w:basedOn w:val="a"/>
    <w:uiPriority w:val="99"/>
    <w:unhideWhenUsed/>
    <w:rsid w:val="001478A1"/>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1478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03B7D-2642-FD43-BCA6-76DE79D1D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23</Pages>
  <Words>1841</Words>
  <Characters>10496</Characters>
  <Application>Microsoft Office Word</Application>
  <DocSecurity>0</DocSecurity>
  <Lines>87</Lines>
  <Paragraphs>24</Paragraphs>
  <ScaleCrop>false</ScaleCrop>
  <Company/>
  <LinksUpToDate>false</LinksUpToDate>
  <CharactersWithSpaces>12313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e69900</dc:creator>
  <cp:keywords/>
  <dc:description/>
  <cp:lastModifiedBy>e69900</cp:lastModifiedBy>
  <cp:revision>268</cp:revision>
  <dcterms:created xsi:type="dcterms:W3CDTF">2026-09-20T02:22:00Z</dcterms:created>
  <dcterms:modified xsi:type="dcterms:W3CDTF">2026-09-22T03:05:00Z</dcterms:modified>
</cp:coreProperties>
</file>