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809D0E" w14:textId="77777777" w:rsidR="007C34AF" w:rsidRDefault="007C34AF"/>
    <w:p w14:paraId="285CC304" w14:textId="0EAE84E3" w:rsidR="007C34AF" w:rsidRDefault="00581638" w:rsidP="00581638">
      <w:pPr>
        <w:pStyle w:val="2"/>
      </w:pPr>
      <w:r>
        <w:rPr>
          <w:rFonts w:hint="eastAsia"/>
        </w:rPr>
        <w:t>全周期风险收益概览</w:t>
      </w:r>
    </w:p>
    <w:p w14:paraId="17911427" w14:textId="58841B95" w:rsidR="007C34AF" w:rsidRDefault="00313DF0">
      <w:r w:rsidRPr="00313DF0">
        <w:drawing>
          <wp:inline distT="0" distB="0" distL="0" distR="0" wp14:anchorId="5F22F792" wp14:editId="2E537556">
            <wp:extent cx="6645910" cy="1781175"/>
            <wp:effectExtent l="0" t="0" r="0" b="0"/>
            <wp:docPr id="843252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52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71FF" w14:textId="05165C75" w:rsidR="007C34AF" w:rsidRDefault="007A2FC2">
      <w:r>
        <w:rPr>
          <w:rFonts w:hint="eastAsia"/>
        </w:rPr>
        <w:t>注：</w:t>
      </w:r>
      <w:proofErr w:type="spellStart"/>
      <w:r>
        <w:rPr>
          <w:rFonts w:hint="eastAsia"/>
        </w:rPr>
        <w:t>IG</w:t>
      </w:r>
      <w:r>
        <w:t>_Leader</w:t>
      </w:r>
      <w:proofErr w:type="spellEnd"/>
      <w:r>
        <w:rPr>
          <w:rFonts w:hint="eastAsia"/>
        </w:rPr>
        <w:t>为Praxair（合并前）与Linde（合并后）的拼接</w:t>
      </w:r>
      <w:r w:rsidR="00641910">
        <w:rPr>
          <w:rFonts w:hint="eastAsia"/>
        </w:rPr>
        <w:t>标的</w:t>
      </w:r>
      <w:r>
        <w:rPr>
          <w:rFonts w:hint="eastAsia"/>
        </w:rPr>
        <w:t>。</w:t>
      </w:r>
    </w:p>
    <w:p w14:paraId="3DF747C7" w14:textId="72E4B0BB" w:rsidR="007C34AF" w:rsidRDefault="00AC3D43">
      <w:r w:rsidRPr="00AC3D43">
        <w:t>工业气体龙头的长期年化收益率（14.6%）显著高于标普500（8.7%），但波动率亦高出约1/3。这一收益溢价并非均匀分布——集中实现于特定的经济周期阶段，而在另一些宏观情境中，工业气体股会经历显著的绝对回撤与相对跑输。以下按历史情境逐一展开。</w:t>
      </w:r>
    </w:p>
    <w:p w14:paraId="7E75877A" w14:textId="77777777" w:rsidR="007C34AF" w:rsidRDefault="007C34AF"/>
    <w:p w14:paraId="624B2B69" w14:textId="0BA9C09E" w:rsidR="007C34AF" w:rsidRDefault="00850EFD" w:rsidP="00850EFD">
      <w:pPr>
        <w:pStyle w:val="2"/>
      </w:pPr>
      <w:r>
        <w:rPr>
          <w:rFonts w:hint="eastAsia"/>
        </w:rPr>
        <w:t>重大回撤情景分解</w:t>
      </w:r>
    </w:p>
    <w:p w14:paraId="75A42020" w14:textId="31067B19" w:rsidR="007C34AF" w:rsidRDefault="00616FDF">
      <w:r>
        <w:rPr>
          <w:rFonts w:hint="eastAsia"/>
        </w:rPr>
        <w:t>1992年以来，共</w:t>
      </w:r>
      <w:r w:rsidRPr="00616FDF">
        <w:t>识别出16次</w:t>
      </w:r>
      <w:proofErr w:type="spellStart"/>
      <w:r w:rsidRPr="00616FDF">
        <w:t>IG_Leader</w:t>
      </w:r>
      <w:proofErr w:type="spellEnd"/>
      <w:r w:rsidRPr="00616FDF">
        <w:t>幅度超过15%的回撤事件。按驱动机制分类，可归纳为</w:t>
      </w:r>
      <w:r w:rsidR="00DB56E3">
        <w:rPr>
          <w:rFonts w:hint="eastAsia"/>
        </w:rPr>
        <w:t>三</w:t>
      </w:r>
      <w:r w:rsidRPr="00616FDF">
        <w:t>类逆风情境：</w:t>
      </w:r>
    </w:p>
    <w:p w14:paraId="7F1CEBEE" w14:textId="29E8D825" w:rsidR="007C34AF" w:rsidRDefault="00BE271F" w:rsidP="00BE271F">
      <w:pPr>
        <w:pStyle w:val="3"/>
      </w:pPr>
      <w:r>
        <w:rPr>
          <w:rFonts w:hint="eastAsia"/>
        </w:rPr>
        <w:t>情境一：系统性金融危机</w:t>
      </w:r>
      <w:r w:rsidR="00C432CF">
        <w:rPr>
          <w:rFonts w:hint="eastAsia"/>
        </w:rPr>
        <w:t>（</w:t>
      </w:r>
      <w:r w:rsidR="000D27AF">
        <w:rPr>
          <w:rFonts w:hint="eastAsia"/>
        </w:rPr>
        <w:t>全球</w:t>
      </w:r>
      <w:r w:rsidR="00C432CF">
        <w:rPr>
          <w:rFonts w:hint="eastAsia"/>
        </w:rPr>
        <w:t>流动性冲击）</w:t>
      </w:r>
    </w:p>
    <w:p w14:paraId="314C300B" w14:textId="54550FF8" w:rsidR="007C34AF" w:rsidRDefault="00E47439">
      <w:r w:rsidRPr="00E47439">
        <w:drawing>
          <wp:inline distT="0" distB="0" distL="0" distR="0" wp14:anchorId="5E52767B" wp14:editId="121802D5">
            <wp:extent cx="6645910" cy="2430145"/>
            <wp:effectExtent l="0" t="0" r="0" b="0"/>
            <wp:docPr id="1109233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33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1DC3" w14:textId="124FF531" w:rsidR="00057461" w:rsidRPr="00057461" w:rsidRDefault="00057461" w:rsidP="00057461">
      <w:pPr>
        <w:rPr>
          <w:rFonts w:hint="eastAsia"/>
        </w:rPr>
      </w:pPr>
      <w:r>
        <w:t>GFC期间</w:t>
      </w:r>
      <w:proofErr w:type="spellStart"/>
      <w:r>
        <w:t>IG_Leader</w:t>
      </w:r>
      <w:proofErr w:type="spellEnd"/>
      <w:r>
        <w:t>录得全样本最深回撤（-51.8%），但相较APD（-60.3%）和标普500（-56.8%），跌幅浅约5-9个百分点。2008年度</w:t>
      </w:r>
      <w:proofErr w:type="spellStart"/>
      <w:r>
        <w:t>IG_Leader</w:t>
      </w:r>
      <w:proofErr w:type="spellEnd"/>
      <w:r>
        <w:t>相对标普500的超额收益为+17.1%，体现了工业气体行业"take-or-pay"长期合同对现金流的下行保护。在2022年熊市中（联储紧缩/通胀），</w:t>
      </w:r>
      <w:proofErr w:type="spellStart"/>
      <w:r>
        <w:t>IG_Leader</w:t>
      </w:r>
      <w:proofErr w:type="spellEnd"/>
      <w:r>
        <w:t>回撤-22.8%，也显著浅于SPX的-25.4%和APD的-30.2%。</w:t>
      </w:r>
    </w:p>
    <w:p w14:paraId="66E4B466" w14:textId="207E0C47" w:rsidR="00057461" w:rsidRDefault="00057461" w:rsidP="00057461">
      <w:pPr>
        <w:rPr>
          <w:rFonts w:hint="eastAsia"/>
        </w:rPr>
      </w:pPr>
      <w:r>
        <w:t>COVID-19回撤虽深（-32.6%），但恢复周期极短（139天），反映市场迅速重新定价工业气体需求的防御性——大型现场供气合同在经济停摆期间仍持续计费。</w:t>
      </w:r>
    </w:p>
    <w:p w14:paraId="58A12C87" w14:textId="6EE996ED" w:rsidR="007C34AF" w:rsidRDefault="00057461" w:rsidP="00057461">
      <w:r w:rsidRPr="007A432D">
        <w:rPr>
          <w:b/>
          <w:bCs/>
        </w:rPr>
        <w:lastRenderedPageBreak/>
        <w:t>核心发现</w:t>
      </w:r>
      <w:r>
        <w:t>： 系统性危机中，工业气体龙头的绝对跌幅可观，但相对表现通常优于大盘及行业同业，且恢复速度快于指数。</w:t>
      </w:r>
    </w:p>
    <w:p w14:paraId="4940881B" w14:textId="5BAB8383" w:rsidR="007C34AF" w:rsidRDefault="00345C65">
      <w:r w:rsidRPr="00345C65">
        <w:drawing>
          <wp:inline distT="0" distB="0" distL="0" distR="0" wp14:anchorId="5DE12AEE" wp14:editId="7FA9231D">
            <wp:extent cx="6645910" cy="1557655"/>
            <wp:effectExtent l="0" t="0" r="0" b="4445"/>
            <wp:docPr id="91046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6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F95C" w14:textId="5B997CB1" w:rsidR="00345C65" w:rsidRDefault="00345C65" w:rsidP="00345C65">
      <w:r>
        <w:t>核心特征：</w:t>
      </w:r>
    </w:p>
    <w:p w14:paraId="373A3F39" w14:textId="77777777" w:rsidR="00345C65" w:rsidRDefault="00345C65" w:rsidP="00345C65">
      <w:pPr>
        <w:pStyle w:val="a9"/>
        <w:numPr>
          <w:ilvl w:val="0"/>
          <w:numId w:val="2"/>
        </w:numPr>
      </w:pPr>
      <w:r>
        <w:t>收入并非崩塌式下滑。2008年收入反而因能源pass-through成本上涨而增长14.8%（量平价升），2009年收入下降17.0%——幅度显著小于多数周期性工业品公司（同期APD收入降幅类似，但EPS跌幅更大）。</w:t>
      </w:r>
    </w:p>
    <w:p w14:paraId="509850C3" w14:textId="77777777" w:rsidR="00345C65" w:rsidRDefault="00345C65" w:rsidP="00345C65">
      <w:pPr>
        <w:pStyle w:val="a9"/>
        <w:numPr>
          <w:ilvl w:val="0"/>
          <w:numId w:val="2"/>
        </w:numPr>
      </w:pPr>
      <w:r>
        <w:t>OPM韧性极强。从2007年的19.0%仅收窄至2008年的17.4%（-160bp），2009年即回升至17.6%。Take-or-pay合同结构使得收入下滑时固定成本被合同最低付费义务部分覆盖。</w:t>
      </w:r>
    </w:p>
    <w:p w14:paraId="7E5F279F" w14:textId="77777777" w:rsidR="00345C65" w:rsidRDefault="00345C65" w:rsidP="00345C65">
      <w:pPr>
        <w:pStyle w:val="a9"/>
        <w:numPr>
          <w:ilvl w:val="0"/>
          <w:numId w:val="2"/>
        </w:numPr>
      </w:pPr>
      <w:r>
        <w:t>EPS反而逆势增长。2008年+5.0%、2009年+5.5%——这是工业气体商业模型最反直觉的表现。驱动因素：大规模回购（2007-2009年Praxair回购约$2.5B股票，摊薄股数从~340M降至~313M）叠加利息费用下降。EPS增长掩盖了利润绝对额在2009年的下降（NI从$1,211M降至$1,254M——此处NI口径包含非经常性项目调整，需注意）。</w:t>
      </w:r>
    </w:p>
    <w:p w14:paraId="479E80A5" w14:textId="16C8ECC6" w:rsidR="00345C65" w:rsidRDefault="00345C65" w:rsidP="00C543E5">
      <w:pPr>
        <w:pStyle w:val="a9"/>
        <w:numPr>
          <w:ilvl w:val="0"/>
          <w:numId w:val="2"/>
        </w:numPr>
      </w:pPr>
      <w:r>
        <w:t>估值剧烈压缩。年末P/E从2007年的24.5x压缩至2008年的15.6x——在EPS不跌的情况下，股价下跌34%纯粹来自估值倍数收缩。到2008年11月危机谷底，盘中P/E可能低至13-14x。</w:t>
      </w:r>
    </w:p>
    <w:p w14:paraId="496AEA4A" w14:textId="77777777" w:rsidR="00345C65" w:rsidRDefault="00345C65"/>
    <w:p w14:paraId="143F7520" w14:textId="6AF551EA" w:rsidR="007C34AF" w:rsidRDefault="00AC6BBF" w:rsidP="00AC6BBF">
      <w:pPr>
        <w:pStyle w:val="3"/>
      </w:pPr>
      <w:r>
        <w:t>情境二：新兴市场/主权信用危机传导</w:t>
      </w:r>
    </w:p>
    <w:p w14:paraId="1285621D" w14:textId="072E21A2" w:rsidR="007C34AF" w:rsidRDefault="009F26A8">
      <w:r w:rsidRPr="009F26A8">
        <w:drawing>
          <wp:inline distT="0" distB="0" distL="0" distR="0" wp14:anchorId="0FCD0A23" wp14:editId="6F1A3749">
            <wp:extent cx="6645910" cy="2406015"/>
            <wp:effectExtent l="0" t="0" r="0" b="0"/>
            <wp:docPr id="418402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02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EAE0" w14:textId="3A36EF51" w:rsidR="007C34AF" w:rsidRDefault="00B91F6F">
      <w:r>
        <w:t>1997-1998年的亚洲危机直接冲击Praxair的亚太和拉美业务暴露（Praxair当时约30%收入来自美国以外，南美占比尤高），新兴市场货币贬值对以当地货币计价的合同收入形成</w:t>
      </w:r>
      <w:r w:rsidR="006B4D20">
        <w:rPr>
          <w:rFonts w:hint="eastAsia"/>
        </w:rPr>
        <w:t>冲击</w:t>
      </w:r>
      <w:r>
        <w:t>。同时，这一时期标普500由科技成长股主导（1998年SPX在LTCM危机中仅回撤-19.3%即V型反弹，全年仍收涨26.7%），传统工业/材料股被市场系统性抛售——这是"风格因子"逆风而非基本面恶化。</w:t>
      </w:r>
    </w:p>
    <w:p w14:paraId="58CCF800" w14:textId="6F1108DD" w:rsidR="000A2F5D" w:rsidRDefault="000A2F5D" w:rsidP="000A2F5D">
      <w:pPr>
        <w:rPr>
          <w:rFonts w:hint="eastAsia"/>
        </w:rPr>
      </w:pPr>
      <w:r>
        <w:lastRenderedPageBreak/>
        <w:t>1999-2000年的回撤延续了同一逻辑：科网泡沫极致阶段，资金从工业周期股向科技成长股的单向虹吸效应使Praxair在SPX涨势中逆势下跌。</w:t>
      </w:r>
    </w:p>
    <w:p w14:paraId="0BDFEE08" w14:textId="4A530C70" w:rsidR="007C34AF" w:rsidRDefault="000A2F5D" w:rsidP="000A2F5D">
      <w:r w:rsidRPr="000A2F5D">
        <w:rPr>
          <w:b/>
          <w:bCs/>
        </w:rPr>
        <w:t>核心发现</w:t>
      </w:r>
      <w:r>
        <w:t>： 工业气体龙头在新兴市场危机叠加"成长vs.价值"风格极端分化的环境中，可能同时承受基本面（新兴市场收入暴露）和风格因子的双重打击，导致持续且深度的相对跑输。这一情境的恢复周期极长（659-993天），显著长于系统性危机。</w:t>
      </w:r>
    </w:p>
    <w:p w14:paraId="3704CB13" w14:textId="5372712A" w:rsidR="007C34AF" w:rsidRDefault="00664EFF">
      <w:r w:rsidRPr="00664EFF">
        <w:drawing>
          <wp:inline distT="0" distB="0" distL="0" distR="0" wp14:anchorId="686C2FC6" wp14:editId="1FEC980D">
            <wp:extent cx="6645910" cy="1922145"/>
            <wp:effectExtent l="0" t="0" r="0" b="0"/>
            <wp:docPr id="825657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57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942F" w14:textId="2AA4C276" w:rsidR="00B02FC7" w:rsidRDefault="00B02FC7" w:rsidP="00B02FC7">
      <w:r w:rsidRPr="00B02FC7">
        <w:rPr>
          <w:b/>
          <w:bCs/>
        </w:rPr>
        <w:t>核心特征</w:t>
      </w:r>
      <w:r>
        <w:t>：</w:t>
      </w:r>
    </w:p>
    <w:p w14:paraId="17677AE9" w14:textId="77777777" w:rsidR="00B02FC7" w:rsidRDefault="00B02FC7" w:rsidP="00B02FC7">
      <w:pPr>
        <w:pStyle w:val="a9"/>
        <w:numPr>
          <w:ilvl w:val="0"/>
          <w:numId w:val="3"/>
        </w:numPr>
      </w:pPr>
      <w:r>
        <w:t>收入受新兴市场货币贬值直接拖累。1999年收入下降4.0%——Praxair当时约40-46%的收入来自美国以外（南美占比尤高），巴西雷亚尔、阿根廷比索等货币在1997-1999年大幅贬值，translational drag是收入下降的主要驱动。</w:t>
      </w:r>
    </w:p>
    <w:p w14:paraId="77E2FA15" w14:textId="77777777" w:rsidR="00B02FC7" w:rsidRDefault="00B02FC7" w:rsidP="00B02FC7">
      <w:pPr>
        <w:pStyle w:val="a9"/>
        <w:numPr>
          <w:ilvl w:val="0"/>
          <w:numId w:val="3"/>
        </w:numPr>
      </w:pPr>
      <w:r>
        <w:t>利润率未受实质冲击（剔除特殊费用后）。1997-1999年OPM稳定在17.7%-17.9%——take-or-pay合同保护了毛利，但南美的宏观动荡触发了2000年Q4的$159M资产减值/重组费用（主要涉及巴西和阿根廷资产），导致报表OPM骤降至14.0%。这是一次性非现金减记，非经营恶化。</w:t>
      </w:r>
    </w:p>
    <w:p w14:paraId="59A0F5BB" w14:textId="77777777" w:rsidR="00B02FC7" w:rsidRDefault="00B02FC7" w:rsidP="00B02FC7">
      <w:pPr>
        <w:pStyle w:val="a9"/>
        <w:numPr>
          <w:ilvl w:val="0"/>
          <w:numId w:val="3"/>
        </w:numPr>
      </w:pPr>
      <w:r>
        <w:t>EPS在1998-1999年仍正增长，2000年骤跌。2000年EPS下降17.3%，除上述减值外还受到巴西雷亚尔贬值引发的利息费用上升（新兴市场子公司本币债务的美元折算成本增加）影响。</w:t>
      </w:r>
    </w:p>
    <w:p w14:paraId="44E00FD7" w14:textId="0EFFFBC0" w:rsidR="00664EFF" w:rsidRDefault="00B02FC7" w:rsidP="00B02FC7">
      <w:pPr>
        <w:pStyle w:val="a9"/>
        <w:numPr>
          <w:ilvl w:val="0"/>
          <w:numId w:val="3"/>
        </w:numPr>
      </w:pPr>
      <w:r>
        <w:t>估值从泡沫溢价跌至折价。1996年末P/E高达26.1x（90年代中期工业股享受盈利加速+全球化叙事的估值溢价），到1998年末LTCM危机后降至13.6x——这是全样本中最低的年末估值水平。估值压缩幅度（26x→14x）远大于EPS跌幅（1996-1998年EPS实际上涨了47%）。</w:t>
      </w:r>
    </w:p>
    <w:p w14:paraId="5BE6E025" w14:textId="77777777" w:rsidR="00664EFF" w:rsidRDefault="00664EFF"/>
    <w:p w14:paraId="76D9ECF5" w14:textId="66656692" w:rsidR="007C34AF" w:rsidRDefault="00AA287F" w:rsidP="00AA287F">
      <w:pPr>
        <w:pStyle w:val="3"/>
      </w:pPr>
      <w:r w:rsidRPr="00AA287F">
        <w:t>情境三：大宗商品/工业周期下行</w:t>
      </w:r>
    </w:p>
    <w:p w14:paraId="260EE525" w14:textId="7181B2B0" w:rsidR="007C34AF" w:rsidRPr="00167753" w:rsidRDefault="00167753">
      <w:r w:rsidRPr="00167753">
        <w:drawing>
          <wp:inline distT="0" distB="0" distL="0" distR="0" wp14:anchorId="17B11010" wp14:editId="2FBE4DD0">
            <wp:extent cx="6645910" cy="2417445"/>
            <wp:effectExtent l="0" t="0" r="0" b="0"/>
            <wp:docPr id="339535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35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6260" w14:textId="18569258" w:rsidR="00400195" w:rsidRDefault="00400195" w:rsidP="00400195">
      <w:pPr>
        <w:rPr>
          <w:rFonts w:hint="eastAsia"/>
        </w:rPr>
      </w:pPr>
      <w:r>
        <w:lastRenderedPageBreak/>
        <w:t>2014-2016年回撤持续时间最长（598天下跌、1,063天恢复），对应全球工业活动减速、油价从$100以上腰斩、中国PMI持续低于荣枯线。尽管Linde/Praxair的on-site合同并不直接暴露于油价，但能源行业是工业气体的重要终端客户（尤其是氢气用于炼油脱硫），炼油和化工企业的资本开支缩减传导至新签合同增速放缓。2015年</w:t>
      </w:r>
      <w:proofErr w:type="spellStart"/>
      <w:r>
        <w:t>IG_Leader</w:t>
      </w:r>
      <w:proofErr w:type="spellEnd"/>
      <w:r>
        <w:t>全年收益-19.0%，对SPX超额-20.0%。</w:t>
      </w:r>
    </w:p>
    <w:p w14:paraId="61DB7B23" w14:textId="0A05B753" w:rsidR="007C34AF" w:rsidRDefault="00400195" w:rsidP="00400195">
      <w:r w:rsidRPr="00400195">
        <w:rPr>
          <w:b/>
          <w:bCs/>
        </w:rPr>
        <w:t>核心发现</w:t>
      </w:r>
      <w:r>
        <w:t>： 工业周期下行导致的回撤幅度温和（-22%至-26%），但恢复周期漫长，反映市场对工业气体作为"后周期"品种的定价特征——基本面恶化滞后于制造业下行，因此估值修复也滞后于经济复苏。</w:t>
      </w:r>
    </w:p>
    <w:p w14:paraId="6D678BD8" w14:textId="63D73188" w:rsidR="00E84FBB" w:rsidRDefault="002D63A0">
      <w:r w:rsidRPr="002D63A0">
        <w:drawing>
          <wp:inline distT="0" distB="0" distL="0" distR="0" wp14:anchorId="51941548" wp14:editId="68C96C0D">
            <wp:extent cx="6645910" cy="1782445"/>
            <wp:effectExtent l="0" t="0" r="0" b="0"/>
            <wp:docPr id="470454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54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480C" w14:textId="19BFFC39" w:rsidR="002D63A0" w:rsidRDefault="002D63A0" w:rsidP="002D63A0">
      <w:r w:rsidRPr="002D63A0">
        <w:rPr>
          <w:b/>
          <w:bCs/>
        </w:rPr>
        <w:t>核心特征</w:t>
      </w:r>
      <w:r>
        <w:t>：</w:t>
      </w:r>
    </w:p>
    <w:p w14:paraId="05B2E8A7" w14:textId="6EBB7ACD" w:rsidR="002D63A0" w:rsidRDefault="002D63A0" w:rsidP="002D63A0">
      <w:pPr>
        <w:pStyle w:val="a9"/>
        <w:numPr>
          <w:ilvl w:val="0"/>
          <w:numId w:val="4"/>
        </w:numPr>
      </w:pPr>
      <w:r>
        <w:t>收入下降是名义效应，非真实需求崩溃。2015年收入下降12.2%的主要驱动并非工业气体出货量下滑，而是：（1）能源pass-through成本随油价暴跌而下降，名义收入缩水但对利润无影响；（2）美元升值带来的</w:t>
      </w:r>
      <w:r w:rsidR="008668C5">
        <w:rPr>
          <w:rFonts w:hint="eastAsia"/>
        </w:rPr>
        <w:t>汇率折算拖累</w:t>
      </w:r>
      <w:r>
        <w:t>。</w:t>
      </w:r>
    </w:p>
    <w:p w14:paraId="3B93FE8C" w14:textId="77777777" w:rsidR="002D63A0" w:rsidRDefault="002D63A0" w:rsidP="002D63A0">
      <w:pPr>
        <w:pStyle w:val="a9"/>
        <w:numPr>
          <w:ilvl w:val="0"/>
          <w:numId w:val="4"/>
        </w:numPr>
      </w:pPr>
      <w:r>
        <w:t>OPM异常稳定。三年间OPM维持在21.2%-21.5%的窄幅区间，波动不足40bp——这是三个危机情境中利润率最稳定的一次。原因：工业气体的核心经营（现场供气、液态分销）并未直接受油价或制造业PMI冲击。</w:t>
      </w:r>
    </w:p>
    <w:p w14:paraId="37991D52" w14:textId="77777777" w:rsidR="002D63A0" w:rsidRDefault="002D63A0" w:rsidP="002D63A0">
      <w:pPr>
        <w:pStyle w:val="a9"/>
        <w:numPr>
          <w:ilvl w:val="0"/>
          <w:numId w:val="4"/>
        </w:numPr>
      </w:pPr>
      <w:r>
        <w:t>EPS缓慢侵蚀而非骤跌。2014-2016年EPS累计下降11.2%，年化-3.8%。下降驱动以currency drag和部分终端需求疲软（能源/钢铁/化工客户的项目延期）为主，并被持续回购（每年~$1B+）部分对冲。</w:t>
      </w:r>
    </w:p>
    <w:p w14:paraId="3338D0A1" w14:textId="0806B22D" w:rsidR="002D63A0" w:rsidRDefault="002D63A0" w:rsidP="002D63A0">
      <w:pPr>
        <w:pStyle w:val="a9"/>
        <w:numPr>
          <w:ilvl w:val="0"/>
          <w:numId w:val="4"/>
        </w:numPr>
      </w:pPr>
      <w:r>
        <w:t>估值仅温和压缩。P/E从2014年的22.6x降至2015年末的19.1x（最低点），2016年即回升至22.5x——估值下限远高于GFC（15.6x）和EM危机（13.6x）。市场认识到OPM的韧性，没有给出"周期性折价"。</w:t>
      </w:r>
    </w:p>
    <w:p w14:paraId="4B880471" w14:textId="77777777" w:rsidR="002D63A0" w:rsidRDefault="002D63A0"/>
    <w:p w14:paraId="4192777A" w14:textId="0454A657" w:rsidR="00E84FBB" w:rsidRDefault="00CB2CEB" w:rsidP="00CB2CEB">
      <w:pPr>
        <w:pStyle w:val="2"/>
      </w:pPr>
      <w:r w:rsidRPr="00CB2CEB">
        <w:t>超额收益情境特征</w:t>
      </w:r>
    </w:p>
    <w:p w14:paraId="04A7145D" w14:textId="0A300876" w:rsidR="00CB2CEB" w:rsidRDefault="00207B57">
      <w:r w:rsidRPr="00207B57">
        <w:drawing>
          <wp:inline distT="0" distB="0" distL="0" distR="0" wp14:anchorId="6FC1494B" wp14:editId="301EBFC9">
            <wp:extent cx="6645910" cy="1912620"/>
            <wp:effectExtent l="0" t="0" r="0" b="5080"/>
            <wp:docPr id="1358965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653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8E0D" w14:textId="77777777" w:rsidR="00CB2CEB" w:rsidRDefault="00CB2CEB"/>
    <w:p w14:paraId="63738F0A" w14:textId="0BCD4D7C" w:rsidR="00CB2CEB" w:rsidRDefault="00715171" w:rsidP="00715171">
      <w:pPr>
        <w:pStyle w:val="2"/>
      </w:pPr>
      <w:r w:rsidRPr="00715171">
        <w:lastRenderedPageBreak/>
        <w:t>逆周期/大幅回撤的触发条件层级</w:t>
      </w:r>
    </w:p>
    <w:p w14:paraId="11847B13" w14:textId="77777777" w:rsidR="00715171" w:rsidRDefault="00715171" w:rsidP="00715171">
      <w:pPr>
        <w:pStyle w:val="a9"/>
        <w:numPr>
          <w:ilvl w:val="0"/>
          <w:numId w:val="1"/>
        </w:numPr>
      </w:pPr>
      <w:r w:rsidRPr="00E40E32">
        <w:rPr>
          <w:b/>
          <w:bCs/>
        </w:rPr>
        <w:t>全球金融体系冲击（GFC、COVID）</w:t>
      </w:r>
      <w:r>
        <w:t>：绝对回撤-30%至-52%，但相对表现通常优于大盘，恢复周期中等（139-893天）。这是"买入"而非"卖出"的情境——历史上GFC后的5年年化超额显著为正。</w:t>
      </w:r>
    </w:p>
    <w:p w14:paraId="227246EB" w14:textId="77777777" w:rsidR="00715171" w:rsidRDefault="00715171" w:rsidP="00715171">
      <w:pPr>
        <w:pStyle w:val="a9"/>
        <w:numPr>
          <w:ilvl w:val="0"/>
          <w:numId w:val="1"/>
        </w:numPr>
      </w:pPr>
      <w:r w:rsidRPr="00E40E32">
        <w:rPr>
          <w:b/>
          <w:bCs/>
        </w:rPr>
        <w:t>新兴市场/主权危机 + 风格极端分化（1997-2000）</w:t>
      </w:r>
      <w:r>
        <w:t>：持续时间最长、相对跑输最深的情境（63天超额最深-35.8%）。需同时满足两个条件：（a）新兴市场收入暴露受损，且（b）大盘由非工业板块（科技/成长）主导。2018年合并后，Linde的地域分散度改善（欧美各约30%，亚太及其他40%），对单一新兴市场的暴露有所降低，但"风格轮动"逆风仍可能复现（如2024年）。</w:t>
      </w:r>
    </w:p>
    <w:p w14:paraId="151775FF" w14:textId="77777777" w:rsidR="00715171" w:rsidRDefault="00715171" w:rsidP="00715171">
      <w:pPr>
        <w:pStyle w:val="a9"/>
        <w:numPr>
          <w:ilvl w:val="0"/>
          <w:numId w:val="1"/>
        </w:numPr>
      </w:pPr>
      <w:r w:rsidRPr="00E40E32">
        <w:rPr>
          <w:b/>
          <w:bCs/>
        </w:rPr>
        <w:t>全球工业周期下行（2014-2016）</w:t>
      </w:r>
      <w:r>
        <w:t>：回撤幅度温和但恢复极慢。核心传导路径并非现有合同收入下降（take-or-pay保护），而是新项目FID（最终投资决定）推迟导致的增长预期下修。跟踪指标：全球制造业PMI、大型能源/化工/半导体客户的资本开支计划。</w:t>
      </w:r>
    </w:p>
    <w:p w14:paraId="2D1DB2FA" w14:textId="40167C32" w:rsidR="00CB2CEB" w:rsidRDefault="00715171" w:rsidP="00715171">
      <w:pPr>
        <w:pStyle w:val="a9"/>
        <w:numPr>
          <w:ilvl w:val="0"/>
          <w:numId w:val="1"/>
        </w:numPr>
      </w:pPr>
      <w:r w:rsidRPr="00E40E32">
        <w:rPr>
          <w:b/>
          <w:bCs/>
        </w:rPr>
        <w:t>估值风格压缩（2024-2025）</w:t>
      </w:r>
      <w:r>
        <w:t>：基本面稳健但股价跑输大盘。在AI/科技驱动的窄幅牛市中，低增速防御品种的相对估值折价。此类跑输通常无需基本面触发因素，也无法通过基本面研究预判，本质上是宏观风格轮动的结果。</w:t>
      </w:r>
    </w:p>
    <w:p w14:paraId="18C63110" w14:textId="77777777" w:rsidR="00CB2CEB" w:rsidRDefault="00CB2CEB">
      <w:pPr>
        <w:rPr>
          <w:rFonts w:hint="eastAsia"/>
        </w:rPr>
      </w:pPr>
    </w:p>
    <w:p w14:paraId="77607B03" w14:textId="22030349" w:rsidR="007C34AF" w:rsidRDefault="00CF51CB">
      <w:r>
        <w:rPr>
          <w:noProof/>
        </w:rPr>
        <w:drawing>
          <wp:inline distT="0" distB="0" distL="0" distR="0" wp14:anchorId="68A1DC90" wp14:editId="58C8508C">
            <wp:extent cx="6688338" cy="2894275"/>
            <wp:effectExtent l="0" t="0" r="5080" b="1905"/>
            <wp:docPr id="1870903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03954" name="图片 187090395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802" cy="294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6A07" w14:textId="77777777" w:rsidR="007C34AF" w:rsidRDefault="007C34AF"/>
    <w:p w14:paraId="65796755" w14:textId="77777777" w:rsidR="007C34AF" w:rsidRDefault="007C34AF">
      <w:pPr>
        <w:rPr>
          <w:rFonts w:hint="eastAsia"/>
        </w:rPr>
      </w:pPr>
    </w:p>
    <w:p w14:paraId="683F888E" w14:textId="77777777" w:rsidR="007C34AF" w:rsidRDefault="007C34AF">
      <w:pPr>
        <w:rPr>
          <w:rFonts w:hint="eastAsia"/>
        </w:rPr>
      </w:pPr>
    </w:p>
    <w:sectPr w:rsidR="007C34AF" w:rsidSect="005035D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935BCD"/>
    <w:multiLevelType w:val="hybridMultilevel"/>
    <w:tmpl w:val="2840857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2F2A091A"/>
    <w:multiLevelType w:val="hybridMultilevel"/>
    <w:tmpl w:val="9D1E0B2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0B71F59"/>
    <w:multiLevelType w:val="hybridMultilevel"/>
    <w:tmpl w:val="81AC11C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32552417"/>
    <w:multiLevelType w:val="hybridMultilevel"/>
    <w:tmpl w:val="5D3A0B6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967206619">
    <w:abstractNumId w:val="1"/>
  </w:num>
  <w:num w:numId="2" w16cid:durableId="923345532">
    <w:abstractNumId w:val="0"/>
  </w:num>
  <w:num w:numId="3" w16cid:durableId="95563132">
    <w:abstractNumId w:val="3"/>
  </w:num>
  <w:num w:numId="4" w16cid:durableId="127606298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1C"/>
    <w:rsid w:val="00044A74"/>
    <w:rsid w:val="00057461"/>
    <w:rsid w:val="000A2F5D"/>
    <w:rsid w:val="000D27AF"/>
    <w:rsid w:val="00167753"/>
    <w:rsid w:val="00207B57"/>
    <w:rsid w:val="002726FC"/>
    <w:rsid w:val="002D63A0"/>
    <w:rsid w:val="00313DF0"/>
    <w:rsid w:val="00345C65"/>
    <w:rsid w:val="003E7CAA"/>
    <w:rsid w:val="00400195"/>
    <w:rsid w:val="004215F1"/>
    <w:rsid w:val="005035D8"/>
    <w:rsid w:val="00581638"/>
    <w:rsid w:val="00616FDF"/>
    <w:rsid w:val="00641910"/>
    <w:rsid w:val="00664EFF"/>
    <w:rsid w:val="006B4D20"/>
    <w:rsid w:val="00715171"/>
    <w:rsid w:val="00733792"/>
    <w:rsid w:val="0076756D"/>
    <w:rsid w:val="007A2FC2"/>
    <w:rsid w:val="007A432D"/>
    <w:rsid w:val="007C34AF"/>
    <w:rsid w:val="00816219"/>
    <w:rsid w:val="00850EFD"/>
    <w:rsid w:val="008668C5"/>
    <w:rsid w:val="00916C93"/>
    <w:rsid w:val="009B291C"/>
    <w:rsid w:val="009F26A8"/>
    <w:rsid w:val="00AA287F"/>
    <w:rsid w:val="00AC3D43"/>
    <w:rsid w:val="00AC5AB2"/>
    <w:rsid w:val="00AC6BBF"/>
    <w:rsid w:val="00B02FC7"/>
    <w:rsid w:val="00B91F6F"/>
    <w:rsid w:val="00BE271F"/>
    <w:rsid w:val="00C432CF"/>
    <w:rsid w:val="00C543E5"/>
    <w:rsid w:val="00C56343"/>
    <w:rsid w:val="00CB2CEB"/>
    <w:rsid w:val="00CF51CB"/>
    <w:rsid w:val="00DB56E3"/>
    <w:rsid w:val="00E40E32"/>
    <w:rsid w:val="00E47439"/>
    <w:rsid w:val="00E84FBB"/>
    <w:rsid w:val="00F04A14"/>
    <w:rsid w:val="00FE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9147CE"/>
  <w15:chartTrackingRefBased/>
  <w15:docId w15:val="{9DA71B47-1A3F-8F4C-BBD9-250B189FA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29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B2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B29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29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29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291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29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29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29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29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B2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B2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29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291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B29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29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29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29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29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2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29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29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2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29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29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29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2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29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2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e69900</dc:creator>
  <cp:keywords/>
  <dc:description/>
  <cp:lastModifiedBy>e69900</cp:lastModifiedBy>
  <cp:revision>47</cp:revision>
  <dcterms:created xsi:type="dcterms:W3CDTF">2026-09-28T01:57:00Z</dcterms:created>
  <dcterms:modified xsi:type="dcterms:W3CDTF">2026-09-28T08:27:00Z</dcterms:modified>
</cp:coreProperties>
</file>