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B191C2" w14:textId="662591B0" w:rsidR="00BF35B0" w:rsidRDefault="00493575" w:rsidP="00493575">
      <w:pPr>
        <w:pStyle w:val="1"/>
      </w:pPr>
      <w:r>
        <w:rPr>
          <w:rFonts w:hint="eastAsia"/>
        </w:rPr>
        <w:t>可口可乐</w:t>
      </w:r>
    </w:p>
    <w:p w14:paraId="5031A9F3" w14:textId="200CB04F" w:rsidR="00BF35B0" w:rsidRDefault="00D7369D" w:rsidP="00D7369D">
      <w:pPr>
        <w:pStyle w:val="2"/>
      </w:pPr>
      <w:r>
        <w:rPr>
          <w:rFonts w:hint="eastAsia"/>
        </w:rPr>
        <w:t>结论</w:t>
      </w:r>
    </w:p>
    <w:p w14:paraId="5011C4A5" w14:textId="368324E1" w:rsidR="00C244EC" w:rsidRDefault="00F01231" w:rsidP="00C244EC">
      <w:pPr>
        <w:rPr>
          <w:rFonts w:ascii="Arial" w:hAnsi="Arial" w:cs="Arial"/>
          <w:color w:val="0D0D0D"/>
          <w:spacing w:val="-2"/>
          <w:sz w:val="21"/>
          <w:szCs w:val="21"/>
          <w:shd w:val="clear" w:color="auto" w:fill="FFFFFF"/>
        </w:rPr>
      </w:pPr>
      <w:r>
        <w:rPr>
          <w:rFonts w:ascii="Arial" w:hAnsi="Arial" w:cs="Arial"/>
          <w:color w:val="0D0D0D"/>
          <w:spacing w:val="-2"/>
          <w:sz w:val="21"/>
          <w:szCs w:val="21"/>
          <w:shd w:val="clear" w:color="auto" w:fill="FFFFFF"/>
        </w:rPr>
        <w:t>品牌与装瓶网络</w:t>
      </w:r>
      <w:r>
        <w:rPr>
          <w:rFonts w:ascii="Arial" w:hAnsi="Arial" w:cs="Arial" w:hint="eastAsia"/>
          <w:color w:val="0D0D0D"/>
          <w:spacing w:val="-2"/>
          <w:sz w:val="21"/>
          <w:szCs w:val="21"/>
          <w:shd w:val="clear" w:color="auto" w:fill="FFFFFF"/>
        </w:rPr>
        <w:t>为</w:t>
      </w:r>
      <w:r>
        <w:rPr>
          <w:rFonts w:ascii="Arial" w:hAnsi="Arial" w:cs="Arial"/>
          <w:color w:val="0D0D0D"/>
          <w:spacing w:val="-2"/>
          <w:sz w:val="21"/>
          <w:szCs w:val="21"/>
          <w:shd w:val="clear" w:color="auto" w:fill="FFFFFF"/>
        </w:rPr>
        <w:t>可口可乐带来</w:t>
      </w:r>
      <w:r>
        <w:rPr>
          <w:rFonts w:ascii="Arial" w:hAnsi="Arial" w:cs="Arial" w:hint="eastAsia"/>
          <w:color w:val="0D0D0D"/>
          <w:spacing w:val="-2"/>
          <w:sz w:val="21"/>
          <w:szCs w:val="21"/>
          <w:shd w:val="clear" w:color="auto" w:fill="FFFFFF"/>
        </w:rPr>
        <w:t>了</w:t>
      </w:r>
      <w:r>
        <w:rPr>
          <w:rFonts w:ascii="Arial" w:hAnsi="Arial" w:cs="Arial"/>
          <w:color w:val="0D0D0D"/>
          <w:spacing w:val="-2"/>
          <w:sz w:val="21"/>
          <w:szCs w:val="21"/>
          <w:shd w:val="clear" w:color="auto" w:fill="FFFFFF"/>
        </w:rPr>
        <w:t>持续盈利能力。品牌维持消费需求，装瓶商完成当地生产与分销，</w:t>
      </w:r>
      <w:r>
        <w:rPr>
          <w:rFonts w:ascii="Arial" w:hAnsi="Arial" w:cs="Arial"/>
          <w:color w:val="0D0D0D"/>
          <w:spacing w:val="-2"/>
          <w:sz w:val="21"/>
          <w:szCs w:val="21"/>
          <w:shd w:val="clear" w:color="auto" w:fill="FFFFFF"/>
        </w:rPr>
        <w:t>KO</w:t>
      </w:r>
      <w:r>
        <w:rPr>
          <w:rFonts w:ascii="Arial" w:hAnsi="Arial" w:cs="Arial"/>
          <w:color w:val="0D0D0D"/>
          <w:spacing w:val="-2"/>
          <w:sz w:val="21"/>
          <w:szCs w:val="21"/>
          <w:shd w:val="clear" w:color="auto" w:fill="FFFFFF"/>
        </w:rPr>
        <w:t>通过浓缩液供应和联动定价分享收益，无须直接承担大部分生产配送投入。这套模式的持久性，取决于消费者愿意购买、装瓶商能够获利；两者共同决定了公司的定价空间和现金创造能力。</w:t>
      </w:r>
    </w:p>
    <w:p w14:paraId="5D1F4775" w14:textId="27C890D0" w:rsidR="008F2CCE" w:rsidRPr="007F6219" w:rsidRDefault="007F6219" w:rsidP="007F6219">
      <w:pPr>
        <w:rPr>
          <w:rFonts w:ascii="Arial" w:hAnsi="Arial" w:cs="Arial" w:hint="eastAsia"/>
          <w:color w:val="0D0D0D"/>
          <w:spacing w:val="-2"/>
          <w:sz w:val="21"/>
          <w:szCs w:val="21"/>
          <w:shd w:val="clear" w:color="auto" w:fill="FFFFFF"/>
        </w:rPr>
      </w:pPr>
      <w:r w:rsidRPr="007F6219">
        <w:rPr>
          <w:rFonts w:ascii="Arial" w:hAnsi="Arial" w:cs="Arial"/>
          <w:color w:val="0D0D0D"/>
          <w:spacing w:val="-2"/>
          <w:sz w:val="21"/>
          <w:szCs w:val="21"/>
          <w:shd w:val="clear" w:color="auto" w:fill="FFFFFF"/>
        </w:rPr>
        <w:t>过去几年的收入增长主要依靠价格／组合，销量贡献较弱。随着提价贡献回落，未来增长需要销量接力；</w:t>
      </w:r>
      <w:r w:rsidRPr="007F6219">
        <w:rPr>
          <w:rFonts w:ascii="Arial" w:hAnsi="Arial" w:cs="Arial"/>
          <w:color w:val="0D0D0D"/>
          <w:spacing w:val="-2"/>
          <w:sz w:val="21"/>
          <w:szCs w:val="21"/>
          <w:shd w:val="clear" w:color="auto" w:fill="FFFFFF"/>
        </w:rPr>
        <w:t>2026</w:t>
      </w:r>
      <w:r w:rsidRPr="007F6219">
        <w:rPr>
          <w:rFonts w:ascii="Arial" w:hAnsi="Arial" w:cs="Arial"/>
          <w:color w:val="0D0D0D"/>
          <w:spacing w:val="-2"/>
          <w:sz w:val="21"/>
          <w:szCs w:val="21"/>
          <w:shd w:val="clear" w:color="auto" w:fill="FFFFFF"/>
        </w:rPr>
        <w:t>年上半年销量恢复的范围扩大，是积极变化，但能否带来持续的利润增长，还要看新增收入能否覆盖原材料、营销和渠道投入，而不能仅凭资产出表或特殊费用减少带来的利润率改善作判断。公司的优势在于，大部分装瓶与配送投资由合作伙伴承担，</w:t>
      </w:r>
      <w:r w:rsidRPr="007F6219">
        <w:rPr>
          <w:rFonts w:ascii="Arial" w:hAnsi="Arial" w:cs="Arial"/>
          <w:color w:val="0D0D0D"/>
          <w:spacing w:val="-2"/>
          <w:sz w:val="21"/>
          <w:szCs w:val="21"/>
          <w:shd w:val="clear" w:color="auto" w:fill="FFFFFF"/>
        </w:rPr>
        <w:t>KO</w:t>
      </w:r>
      <w:r w:rsidRPr="007F6219">
        <w:rPr>
          <w:rFonts w:ascii="Arial" w:hAnsi="Arial" w:cs="Arial"/>
          <w:color w:val="0D0D0D"/>
          <w:spacing w:val="-2"/>
          <w:sz w:val="21"/>
          <w:szCs w:val="21"/>
          <w:shd w:val="clear" w:color="auto" w:fill="FFFFFF"/>
        </w:rPr>
        <w:t>自身的资本开支通常只消耗经营现金流的一至两成，</w:t>
      </w:r>
      <w:r w:rsidR="005F652B">
        <w:rPr>
          <w:rFonts w:ascii="Arial" w:hAnsi="Arial" w:cs="Arial" w:hint="eastAsia"/>
          <w:color w:val="0D0D0D"/>
          <w:spacing w:val="-2"/>
          <w:sz w:val="21"/>
          <w:szCs w:val="21"/>
          <w:shd w:val="clear" w:color="auto" w:fill="FFFFFF"/>
        </w:rPr>
        <w:t>目前主要投向乳饮料市场</w:t>
      </w:r>
      <w:r w:rsidRPr="007F6219">
        <w:rPr>
          <w:rFonts w:ascii="Arial" w:hAnsi="Arial" w:cs="Arial"/>
          <w:color w:val="0D0D0D"/>
          <w:spacing w:val="-2"/>
          <w:sz w:val="21"/>
          <w:szCs w:val="21"/>
          <w:shd w:val="clear" w:color="auto" w:fill="FFFFFF"/>
        </w:rPr>
        <w:t>。这使温和的业务增长也能支撑持续分红，但更高的股东回报仍需要销量、利润和现金流同步增长，不能只靠提价或报表利润率上升</w:t>
      </w:r>
      <w:r w:rsidRPr="007F6219">
        <w:rPr>
          <w:rFonts w:ascii="Arial" w:hAnsi="Arial" w:cs="Arial" w:hint="eastAsia"/>
          <w:color w:val="0D0D0D"/>
          <w:spacing w:val="-2"/>
          <w:sz w:val="21"/>
          <w:szCs w:val="21"/>
          <w:shd w:val="clear" w:color="auto" w:fill="FFFFFF"/>
        </w:rPr>
        <w:t>。</w:t>
      </w:r>
    </w:p>
    <w:p w14:paraId="413A7A0F" w14:textId="06FBA07B" w:rsidR="007F6219" w:rsidRPr="00014150" w:rsidRDefault="00014150" w:rsidP="007F6219">
      <w:pPr>
        <w:rPr>
          <w:rFonts w:ascii="Arial" w:hAnsi="Arial" w:cs="Arial" w:hint="eastAsia"/>
          <w:color w:val="0D0D0D"/>
          <w:spacing w:val="-2"/>
          <w:sz w:val="21"/>
          <w:szCs w:val="21"/>
          <w:shd w:val="clear" w:color="auto" w:fill="FFFFFF"/>
        </w:rPr>
      </w:pPr>
      <w:r w:rsidRPr="00014150">
        <w:rPr>
          <w:rFonts w:ascii="Arial" w:hAnsi="Arial" w:cs="Arial"/>
          <w:color w:val="0D0D0D"/>
          <w:spacing w:val="-2"/>
          <w:sz w:val="21"/>
          <w:szCs w:val="21"/>
          <w:shd w:val="clear" w:color="auto" w:fill="FFFFFF"/>
        </w:rPr>
        <w:t>按报告</w:t>
      </w:r>
      <w:r w:rsidRPr="00014150">
        <w:rPr>
          <w:rFonts w:ascii="Arial" w:hAnsi="Arial" w:cs="Arial"/>
          <w:color w:val="0D0D0D"/>
          <w:spacing w:val="-2"/>
          <w:sz w:val="21"/>
          <w:szCs w:val="21"/>
          <w:shd w:val="clear" w:color="auto" w:fill="FFFFFF"/>
        </w:rPr>
        <w:t>2026</w:t>
      </w:r>
      <w:r w:rsidRPr="00014150">
        <w:rPr>
          <w:rFonts w:ascii="Arial" w:hAnsi="Arial" w:cs="Arial"/>
          <w:color w:val="0D0D0D"/>
          <w:spacing w:val="-2"/>
          <w:sz w:val="21"/>
          <w:szCs w:val="21"/>
          <w:shd w:val="clear" w:color="auto" w:fill="FFFFFF"/>
        </w:rPr>
        <w:t>年</w:t>
      </w:r>
      <w:r w:rsidRPr="00014150">
        <w:rPr>
          <w:rFonts w:ascii="Arial" w:hAnsi="Arial" w:cs="Arial"/>
          <w:color w:val="0D0D0D"/>
          <w:spacing w:val="-2"/>
          <w:sz w:val="21"/>
          <w:szCs w:val="21"/>
          <w:shd w:val="clear" w:color="auto" w:fill="FFFFFF"/>
        </w:rPr>
        <w:t>10</w:t>
      </w:r>
      <w:r w:rsidRPr="00014150">
        <w:rPr>
          <w:rFonts w:ascii="Arial" w:hAnsi="Arial" w:cs="Arial"/>
          <w:color w:val="0D0D0D"/>
          <w:spacing w:val="-2"/>
          <w:sz w:val="21"/>
          <w:szCs w:val="21"/>
          <w:shd w:val="clear" w:color="auto" w:fill="FFFFFF"/>
        </w:rPr>
        <w:t>月</w:t>
      </w:r>
      <w:r w:rsidRPr="00014150">
        <w:rPr>
          <w:rFonts w:ascii="Arial" w:hAnsi="Arial" w:cs="Arial"/>
          <w:color w:val="0D0D0D"/>
          <w:spacing w:val="-2"/>
          <w:sz w:val="21"/>
          <w:szCs w:val="21"/>
          <w:shd w:val="clear" w:color="auto" w:fill="FFFFFF"/>
        </w:rPr>
        <w:t>16</w:t>
      </w:r>
      <w:r w:rsidRPr="00014150">
        <w:rPr>
          <w:rFonts w:ascii="Arial" w:hAnsi="Arial" w:cs="Arial"/>
          <w:color w:val="0D0D0D"/>
          <w:spacing w:val="-2"/>
          <w:sz w:val="21"/>
          <w:szCs w:val="21"/>
          <w:shd w:val="clear" w:color="auto" w:fill="FFFFFF"/>
        </w:rPr>
        <w:t>日的估值口径，以</w:t>
      </w:r>
      <w:r w:rsidRPr="00014150">
        <w:rPr>
          <w:rFonts w:ascii="Arial" w:hAnsi="Arial" w:cs="Arial"/>
          <w:color w:val="0D0D0D"/>
          <w:spacing w:val="-2"/>
          <w:sz w:val="21"/>
          <w:szCs w:val="21"/>
          <w:shd w:val="clear" w:color="auto" w:fill="FFFFFF"/>
        </w:rPr>
        <w:t>92</w:t>
      </w:r>
      <w:r w:rsidRPr="00014150">
        <w:rPr>
          <w:rFonts w:ascii="Arial" w:hAnsi="Arial" w:cs="Arial"/>
          <w:color w:val="0D0D0D"/>
          <w:spacing w:val="-2"/>
          <w:sz w:val="21"/>
          <w:szCs w:val="21"/>
          <w:shd w:val="clear" w:color="auto" w:fill="FFFFFF"/>
        </w:rPr>
        <w:t>美元买入、</w:t>
      </w:r>
      <w:r w:rsidRPr="00014150">
        <w:rPr>
          <w:rFonts w:ascii="Arial" w:hAnsi="Arial" w:cs="Arial"/>
          <w:color w:val="0D0D0D"/>
          <w:spacing w:val="-2"/>
          <w:sz w:val="21"/>
          <w:szCs w:val="21"/>
          <w:shd w:val="clear" w:color="auto" w:fill="FFFFFF"/>
        </w:rPr>
        <w:t>2031</w:t>
      </w:r>
      <w:r w:rsidRPr="00014150">
        <w:rPr>
          <w:rFonts w:ascii="Arial" w:hAnsi="Arial" w:cs="Arial"/>
          <w:color w:val="0D0D0D"/>
          <w:spacing w:val="-2"/>
          <w:sz w:val="21"/>
          <w:szCs w:val="21"/>
          <w:shd w:val="clear" w:color="auto" w:fill="FFFFFF"/>
        </w:rPr>
        <w:t>年末退出，基准情景年化总回报约为</w:t>
      </w:r>
      <w:r w:rsidRPr="00014150">
        <w:rPr>
          <w:rFonts w:ascii="Arial" w:hAnsi="Arial" w:cs="Arial"/>
          <w:color w:val="0D0D0D"/>
          <w:spacing w:val="-2"/>
          <w:sz w:val="21"/>
          <w:szCs w:val="21"/>
          <w:shd w:val="clear" w:color="auto" w:fill="FFFFFF"/>
        </w:rPr>
        <w:t>3.7%</w:t>
      </w:r>
      <w:r w:rsidRPr="00014150">
        <w:rPr>
          <w:rFonts w:ascii="Arial" w:hAnsi="Arial" w:cs="Arial"/>
          <w:color w:val="0D0D0D"/>
          <w:spacing w:val="-2"/>
          <w:sz w:val="21"/>
          <w:szCs w:val="21"/>
          <w:shd w:val="clear" w:color="auto" w:fill="FFFFFF"/>
        </w:rPr>
        <w:t>；若要求</w:t>
      </w:r>
      <w:r w:rsidRPr="00014150">
        <w:rPr>
          <w:rFonts w:ascii="Arial" w:hAnsi="Arial" w:cs="Arial"/>
          <w:color w:val="0D0D0D"/>
          <w:spacing w:val="-2"/>
          <w:sz w:val="21"/>
          <w:szCs w:val="21"/>
          <w:shd w:val="clear" w:color="auto" w:fill="FFFFFF"/>
        </w:rPr>
        <w:t>15%</w:t>
      </w:r>
      <w:r w:rsidRPr="00014150">
        <w:rPr>
          <w:rFonts w:ascii="Arial" w:hAnsi="Arial" w:cs="Arial"/>
          <w:color w:val="0D0D0D"/>
          <w:spacing w:val="-2"/>
          <w:sz w:val="21"/>
          <w:szCs w:val="21"/>
          <w:shd w:val="clear" w:color="auto" w:fill="FFFFFF"/>
        </w:rPr>
        <w:t>的年化回报，对应基准买入参考价为</w:t>
      </w:r>
      <w:r w:rsidRPr="00014150">
        <w:rPr>
          <w:rFonts w:ascii="Arial" w:hAnsi="Arial" w:cs="Arial"/>
          <w:color w:val="0D0D0D"/>
          <w:spacing w:val="-2"/>
          <w:sz w:val="21"/>
          <w:szCs w:val="21"/>
          <w:shd w:val="clear" w:color="auto" w:fill="FFFFFF"/>
        </w:rPr>
        <w:t>55.49</w:t>
      </w:r>
      <w:r w:rsidRPr="00014150">
        <w:rPr>
          <w:rFonts w:ascii="Arial" w:hAnsi="Arial" w:cs="Arial"/>
          <w:color w:val="0D0D0D"/>
          <w:spacing w:val="-2"/>
          <w:sz w:val="21"/>
          <w:szCs w:val="21"/>
          <w:shd w:val="clear" w:color="auto" w:fill="FFFFFF"/>
        </w:rPr>
        <w:t>美元。</w:t>
      </w:r>
    </w:p>
    <w:p w14:paraId="383AF43C" w14:textId="77777777" w:rsidR="00F01231" w:rsidRDefault="00F01231" w:rsidP="00C244EC">
      <w:pPr>
        <w:rPr>
          <w:rFonts w:hint="eastAsia"/>
        </w:rPr>
      </w:pPr>
    </w:p>
    <w:p w14:paraId="04786E13" w14:textId="2F3391C2" w:rsidR="00BF35B0" w:rsidRDefault="00057DB9" w:rsidP="00AC3E44">
      <w:pPr>
        <w:pStyle w:val="2"/>
      </w:pPr>
      <w:r>
        <w:rPr>
          <w:rFonts w:hint="eastAsia"/>
        </w:rPr>
        <w:t>历史沿革</w:t>
      </w:r>
    </w:p>
    <w:p w14:paraId="4B457286" w14:textId="686B8C47" w:rsidR="00AC3E44" w:rsidRPr="00014150" w:rsidRDefault="00AC3E44" w:rsidP="00AC3E44">
      <w:pPr>
        <w:rPr>
          <w:rFonts w:ascii="Arial" w:hAnsi="Arial" w:cs="Arial"/>
          <w:color w:val="0D0D0D"/>
          <w:spacing w:val="-2"/>
          <w:sz w:val="21"/>
          <w:szCs w:val="21"/>
          <w:shd w:val="clear" w:color="auto" w:fill="FFFFFF"/>
        </w:rPr>
      </w:pPr>
      <w:r w:rsidRPr="00014150">
        <w:rPr>
          <w:rFonts w:ascii="Arial" w:hAnsi="Arial" w:cs="Arial"/>
          <w:color w:val="0D0D0D"/>
          <w:spacing w:val="-2"/>
          <w:sz w:val="21"/>
          <w:szCs w:val="21"/>
          <w:shd w:val="clear" w:color="auto" w:fill="FFFFFF"/>
        </w:rPr>
        <w:t xml:space="preserve">1886 </w:t>
      </w:r>
      <w:r w:rsidRPr="00014150">
        <w:rPr>
          <w:rFonts w:ascii="Arial" w:hAnsi="Arial" w:cs="Arial"/>
          <w:color w:val="0D0D0D"/>
          <w:spacing w:val="-2"/>
          <w:sz w:val="21"/>
          <w:szCs w:val="21"/>
          <w:shd w:val="clear" w:color="auto" w:fill="FFFFFF"/>
        </w:rPr>
        <w:t>年，药剂师约翰</w:t>
      </w:r>
      <w:r w:rsidRPr="00014150">
        <w:rPr>
          <w:rFonts w:ascii="Arial" w:hAnsi="Arial" w:cs="Arial"/>
          <w:color w:val="0D0D0D"/>
          <w:spacing w:val="-2"/>
          <w:sz w:val="21"/>
          <w:szCs w:val="21"/>
          <w:shd w:val="clear" w:color="auto" w:fill="FFFFFF"/>
        </w:rPr>
        <w:t>·</w:t>
      </w:r>
      <w:r w:rsidRPr="00014150">
        <w:rPr>
          <w:rFonts w:ascii="Arial" w:hAnsi="Arial" w:cs="Arial"/>
          <w:color w:val="0D0D0D"/>
          <w:spacing w:val="-2"/>
          <w:sz w:val="21"/>
          <w:szCs w:val="21"/>
          <w:shd w:val="clear" w:color="auto" w:fill="FFFFFF"/>
        </w:rPr>
        <w:t>彭伯顿（</w:t>
      </w:r>
      <w:r w:rsidRPr="00014150">
        <w:rPr>
          <w:rFonts w:ascii="Arial" w:hAnsi="Arial" w:cs="Arial"/>
          <w:color w:val="0D0D0D"/>
          <w:spacing w:val="-2"/>
          <w:sz w:val="21"/>
          <w:szCs w:val="21"/>
          <w:shd w:val="clear" w:color="auto" w:fill="FFFFFF"/>
        </w:rPr>
        <w:t>John Pemberton</w:t>
      </w:r>
      <w:r w:rsidRPr="00014150">
        <w:rPr>
          <w:rFonts w:ascii="Arial" w:hAnsi="Arial" w:cs="Arial"/>
          <w:color w:val="0D0D0D"/>
          <w:spacing w:val="-2"/>
          <w:sz w:val="21"/>
          <w:szCs w:val="21"/>
          <w:shd w:val="clear" w:color="auto" w:fill="FFFFFF"/>
        </w:rPr>
        <w:t>）在佐治亚州亚特兰大的</w:t>
      </w:r>
      <w:r w:rsidRPr="00014150">
        <w:rPr>
          <w:rFonts w:ascii="Arial" w:hAnsi="Arial" w:cs="Arial"/>
          <w:color w:val="0D0D0D"/>
          <w:spacing w:val="-2"/>
          <w:sz w:val="21"/>
          <w:szCs w:val="21"/>
          <w:shd w:val="clear" w:color="auto" w:fill="FFFFFF"/>
        </w:rPr>
        <w:t xml:space="preserve"> Jacobs' Pharmacy </w:t>
      </w:r>
      <w:r w:rsidRPr="00014150">
        <w:rPr>
          <w:rFonts w:ascii="Arial" w:hAnsi="Arial" w:cs="Arial"/>
          <w:color w:val="0D0D0D"/>
          <w:spacing w:val="-2"/>
          <w:sz w:val="21"/>
          <w:szCs w:val="21"/>
          <w:shd w:val="clear" w:color="auto" w:fill="FFFFFF"/>
        </w:rPr>
        <w:t>推出可口可乐，最初作为苏打水柜台的饮品出售，首年日均销量仅约九杯。</w:t>
      </w:r>
    </w:p>
    <w:p w14:paraId="45F659AB" w14:textId="00F1609B" w:rsidR="00AC3E44" w:rsidRDefault="00AC3E44" w:rsidP="00AC3E44">
      <w:r>
        <w:t>1888–1892 年，同行药剂师阿萨·坎德勒（Asa Candler）陆续收购配方权益，1891 年前后掌握全部权益。1892 年他设立佐治亚州法人 The Coca-Cola Company，开始面向全美做生产和广告。</w:t>
      </w:r>
    </w:p>
    <w:p w14:paraId="6578CB8F" w14:textId="4713C17F" w:rsidR="00AC3E44" w:rsidRDefault="00AC3E44" w:rsidP="00AC3E44">
      <w:r>
        <w:t>1899 年，坎德勒把瓶装和分销的独家权利授予两位田纳西州律师，使可口可乐从柜台饮品走向瓶装产品。一般认为这份合同的对价是象征性的，只有 1 美元，各来源对此说法不一。由此确立了延续至今的体系：公司只供应浓缩液与糖浆，灌装和销售交给独立装瓶商。这也是 2015 年以来公司不断卖出装瓶业务的历史前提。</w:t>
      </w:r>
    </w:p>
    <w:p w14:paraId="609F2E59" w14:textId="5BF2FEE7" w:rsidR="00AC3E44" w:rsidRDefault="00AC3E44" w:rsidP="00AC3E44">
      <w:r>
        <w:t>1919 年，以欧内斯特·伍德拉夫（Ernest Woodruff）为首的投资团体以约 2,500 万美元收购公司，同年以每股 40 美元公开发行。9 月，公司在特拉华州重新注册，承继 1892 年佐治亚州同名公司的业务，即现行法律主体（FY2016 与 FY2025 10-K 均有披露）。</w:t>
      </w:r>
    </w:p>
    <w:p w14:paraId="0DCFB352" w14:textId="1429BA17" w:rsidR="00AC3E44" w:rsidRDefault="00AC3E44" w:rsidP="00AC3E44">
      <w:r>
        <w:t>1923 年，欧内斯特之子罗伯特·伍德拉夫（Robert Woodruff）出任总裁。他推出六瓶装纸箱和开口冷藏箱，让产品能够冰镇销售，并对装瓶商设定统一品质标准。1928 年公司随美国代表团赞助阿姆斯特丹奥运会，1930 年成立 Coca-Cola Export Corporation，开始系统性出海。二战期间，公司承诺向每位美军士兵供应五美分一瓶的可乐，战时建起的海外灌装设施成为战后国际化的基础。</w:t>
      </w:r>
    </w:p>
    <w:p w14:paraId="63D1236F" w14:textId="1FD4B37D" w:rsidR="00AC3E44" w:rsidRDefault="00AC3E44" w:rsidP="00AC3E44">
      <w:r>
        <w:t>1960–1966 年，公司从单一可乐扩展为多品牌。1960 年收购 Minute Maid，首次进入非碳酸饮料，同年芬达（Fanta）进入美国市场。此后雪碧（1961）、TAB（1963）、Fresca（1966）相继推出，这是为应对百事竞争而展开的第一轮品类扩张。</w:t>
      </w:r>
    </w:p>
    <w:p w14:paraId="3D10AC52" w14:textId="3DF67F8D" w:rsidR="00AC3E44" w:rsidRDefault="00AC3E44" w:rsidP="00AC3E44">
      <w:r>
        <w:lastRenderedPageBreak/>
        <w:t>1981–1982 年，罗伯托·戈伊苏埃塔（Roberto Goizueta）出任董事长。1982 年推出 Diet Coke，这是 1886 年以来第一个使用可口可乐商标的新品牌。同年公司收购哥伦比亚影业，1987 年将娱乐业务出售给 Tri-Star Pictures。这次多元化以退出告终，此后公司始终围绕饮料主业。</w:t>
      </w:r>
    </w:p>
    <w:p w14:paraId="4260C29C" w14:textId="34882674" w:rsidR="00AC3E44" w:rsidRDefault="00AC3E44" w:rsidP="00AC3E44">
      <w:r>
        <w:t>1985 年，公司在百事口味对比测试的压力下停产原配方，推出 New Coke，引发消费者强烈反对，7 月恢复原配方并更名为 Coca-Cola Classic。这一事件反向证明了原配方与品牌情感的价值。</w:t>
      </w:r>
    </w:p>
    <w:p w14:paraId="24038CA9" w14:textId="66380EFF" w:rsidR="00AC3E44" w:rsidRDefault="00AC3E44" w:rsidP="00AC3E44">
      <w:r w:rsidRPr="00C1770D">
        <w:rPr>
          <w:b/>
          <w:bCs/>
        </w:rPr>
        <w:t>1980 年代，装瓶体系的整合。 公司于 1980 年、1982 年先后收购纽约及 Associated 两家装瓶商，并在 1986 年连同 Beatrice 等装瓶业务一起整合，组建 Coca-Cola Enterprises（CCE）作为北美及西欧的核心装瓶商。</w:t>
      </w:r>
      <w:r>
        <w:t>此后公司长期持有其约三分之一的股权（2010 年交易公告时约 34%）。</w:t>
      </w:r>
    </w:p>
    <w:p w14:paraId="770FCAC8" w14:textId="0FA44B32" w:rsidR="00AC3E44" w:rsidRDefault="00AC3E44" w:rsidP="00AC3E44">
      <w:r>
        <w:t>1990–2007 年，向非碳酸品类延伸。 公司通过自主推出和收购扩大水、运动、茶、果汁产品线：</w:t>
      </w:r>
    </w:p>
    <w:p w14:paraId="33E35EE8" w14:textId="77777777" w:rsidR="00AC3E44" w:rsidRDefault="00AC3E44" w:rsidP="00AC3E44">
      <w:r>
        <w:t>1999 年推出 Dasani；</w:t>
      </w:r>
    </w:p>
    <w:p w14:paraId="34BCB4B0" w14:textId="77777777" w:rsidR="00AC3E44" w:rsidRDefault="00AC3E44" w:rsidP="00AC3E44">
      <w:r>
        <w:t>2001 年收购 Odwalla；</w:t>
      </w:r>
    </w:p>
    <w:p w14:paraId="4C4D36BD" w14:textId="2CE568A0" w:rsidR="00AC3E44" w:rsidRDefault="00AC3E44" w:rsidP="00AC3E44">
      <w:r>
        <w:t xml:space="preserve">2007 年以约 41 亿美元现金收购 </w:t>
      </w:r>
      <w:proofErr w:type="spellStart"/>
      <w:r>
        <w:t>glacéau</w:t>
      </w:r>
      <w:proofErr w:type="spellEnd"/>
      <w:r>
        <w:t>（</w:t>
      </w:r>
      <w:proofErr w:type="spellStart"/>
      <w:r>
        <w:t>vitaminwater</w:t>
      </w:r>
      <w:proofErr w:type="spellEnd"/>
      <w:r>
        <w:t>、</w:t>
      </w:r>
      <w:proofErr w:type="spellStart"/>
      <w:r>
        <w:t>smartwater</w:t>
      </w:r>
      <w:proofErr w:type="spellEnd"/>
      <w:r>
        <w:t>），这是当时公司最大的一笔收购。</w:t>
      </w:r>
    </w:p>
    <w:p w14:paraId="474B96FE" w14:textId="77EB8316" w:rsidR="00AC3E44" w:rsidRDefault="00AC3E44" w:rsidP="00AC3E44">
      <w:r>
        <w:t>2008 年公司提出以约 24 亿美元收购中国汇源果汁，2009 年被商务部以可能形成垄断为由否决。2009 年入股 innocent，2013 年增持至 90% 以上。</w:t>
      </w:r>
    </w:p>
    <w:p w14:paraId="3F03BF75" w14:textId="2110CF57" w:rsidR="00AC3E44" w:rsidRDefault="00AC3E44" w:rsidP="00AC3E44">
      <w:r w:rsidRPr="00C1770D">
        <w:rPr>
          <w:b/>
          <w:bCs/>
        </w:rPr>
        <w:t>2010 年，公司于 10 月 2 日以约 123 亿美元完成对 CCE 北美业务的收购，并与自身的餐饮服务、果汁和北美供应链业务合并，成立 Coca-Cola Refreshments（CCR）</w:t>
      </w:r>
      <w:r>
        <w:t>。CCE 的欧洲业务由 New CCE 保留，公司不持有其股权。</w:t>
      </w:r>
      <w:r w:rsidRPr="00CE065A">
        <w:rPr>
          <w:b/>
          <w:bCs/>
        </w:rPr>
        <w:t>这次交易意在统一北美装瓶与客户服务，却使公司背上了大规模的重资产运营</w:t>
      </w:r>
      <w:r>
        <w:t>，也为之后的反向操作埋下伏笔。</w:t>
      </w:r>
    </w:p>
    <w:p w14:paraId="33425992" w14:textId="1CEF091C" w:rsidR="00AC3E44" w:rsidRDefault="00AC3E44" w:rsidP="00AC3E44">
      <w:r w:rsidRPr="0012443A">
        <w:rPr>
          <w:b/>
          <w:bCs/>
        </w:rPr>
        <w:t>2014–2016 年，再特许开始。 公司把北美再特许、重回品牌运营明确为战略方向。</w:t>
      </w:r>
      <w:r>
        <w:t>2014–2016 年，CCR 管理的北美装瓶区域陆续转让给独立装瓶商；2016 年确认的北美再特许损失约 24.6 亿美元，主要来自转给装瓶商的无形资产被终止确认。</w:t>
      </w:r>
      <w:r w:rsidRPr="007D79B9">
        <w:rPr>
          <w:b/>
          <w:bCs/>
        </w:rPr>
        <w:t>2015 年 6 月，公司与 Monster 达成长期合作：出售全球能量饮料业务，换得约 17% 的 Monster 股权，同时取得 Monster 非能量饮料业务及能量饮料分销权。</w:t>
      </w:r>
      <w:r>
        <w:t>2016 年，公司在德国整合装瓶业务，并将南非装瓶业务出表，换入 CCBA（Coca-Cola Beverages Africa）股权。同年 12 月，</w:t>
      </w:r>
      <w:r w:rsidRPr="00517956">
        <w:rPr>
          <w:b/>
          <w:bCs/>
        </w:rPr>
        <w:t>公司宣布拟在 2017 年底前再特许 100% 的美国自营装瓶业务</w:t>
      </w:r>
      <w:r>
        <w:t>。</w:t>
      </w:r>
    </w:p>
    <w:p w14:paraId="3C4F8949" w14:textId="193D3C1C" w:rsidR="00AC3E44" w:rsidRDefault="00AC3E44" w:rsidP="00AC3E44">
      <w:r>
        <w:t>2017–2018 年，规模收缩，利润质量改善。 公司于 2017 年完成美国自营装瓶业务再特许，ABI 持有的 CCBA 控股权也于当年 10 月过渡给公司（对价 31.5 亿美元，当时按终止经营列示）。</w:t>
      </w:r>
      <w:r w:rsidRPr="00B10589">
        <w:rPr>
          <w:b/>
          <w:bCs/>
        </w:rPr>
        <w:t xml:space="preserve">2018 年公司收购菲律宾装瓶业务 51% 控股权（7.15 亿美元，源于 2013 年出售时约定的期权），同时入股运动饮料 </w:t>
      </w:r>
      <w:proofErr w:type="spellStart"/>
      <w:r w:rsidRPr="00B10589">
        <w:rPr>
          <w:b/>
          <w:bCs/>
        </w:rPr>
        <w:t>BodyArmor</w:t>
      </w:r>
      <w:proofErr w:type="spellEnd"/>
      <w:r>
        <w:t>。结果是收入从 2014 年的 460 亿美元降到 2018 年的 319 亿美元（当年口径），但营业利润稳定在 87 亿美元左右。这一阶段的收入下降主要来自装瓶业务出表，而不是需求下滑。</w:t>
      </w:r>
    </w:p>
    <w:p w14:paraId="45D69CA2" w14:textId="5D37B5D8" w:rsidR="00AC3E44" w:rsidRDefault="00AC3E44" w:rsidP="00AC3E44">
      <w:r w:rsidRPr="002B21AD">
        <w:rPr>
          <w:b/>
          <w:bCs/>
        </w:rPr>
        <w:t>2019 年</w:t>
      </w:r>
      <w:r>
        <w:t>，用收购补充品类。 1 月公司以 49 亿美元（扣除所获现金）</w:t>
      </w:r>
      <w:r w:rsidRPr="002B21AD">
        <w:rPr>
          <w:b/>
          <w:bCs/>
        </w:rPr>
        <w:t>收购英国咖啡连锁 Costa</w:t>
      </w:r>
      <w:r>
        <w:t>，进入热饮，并设立 Global Ventures 分部管理 Costa、innocent 等业务。同年公司决定长期持有 CCBA 控股权，不再将其作为终止经营。</w:t>
      </w:r>
    </w:p>
    <w:p w14:paraId="27DC33C6" w14:textId="3D47F7BC" w:rsidR="00AC3E44" w:rsidRDefault="00AC3E44" w:rsidP="00AC3E44">
      <w:r w:rsidRPr="0009020B">
        <w:rPr>
          <w:b/>
          <w:bCs/>
        </w:rPr>
        <w:t xml:space="preserve">2020 年，公司取得 </w:t>
      </w:r>
      <w:proofErr w:type="spellStart"/>
      <w:r w:rsidRPr="0009020B">
        <w:rPr>
          <w:b/>
          <w:bCs/>
        </w:rPr>
        <w:t>fairlife</w:t>
      </w:r>
      <w:proofErr w:type="spellEnd"/>
      <w:r w:rsidRPr="0009020B">
        <w:rPr>
          <w:b/>
          <w:bCs/>
        </w:rPr>
        <w:t xml:space="preserve"> 剩余 57.5% 股权，转为全资持有，进入高蛋白乳饮品类</w:t>
      </w:r>
      <w:r>
        <w:t>，确认重估收益 9.02 亿美元。当年疫情使收入由 372.7 亿美元降到 330.1 亿美元。</w:t>
      </w:r>
    </w:p>
    <w:p w14:paraId="2F87858C" w14:textId="0CF7C017" w:rsidR="00AC3E44" w:rsidRDefault="00AC3E44" w:rsidP="00AC3E44">
      <w:r w:rsidRPr="00A8262A">
        <w:rPr>
          <w:b/>
          <w:bCs/>
        </w:rPr>
        <w:t xml:space="preserve">2021 年，公司于 11 月以约 56 亿美元收购 </w:t>
      </w:r>
      <w:proofErr w:type="spellStart"/>
      <w:r w:rsidRPr="00A8262A">
        <w:rPr>
          <w:b/>
          <w:bCs/>
        </w:rPr>
        <w:t>BodyArmor</w:t>
      </w:r>
      <w:proofErr w:type="spellEnd"/>
      <w:r w:rsidRPr="00A8262A">
        <w:rPr>
          <w:b/>
          <w:bCs/>
        </w:rPr>
        <w:t xml:space="preserve"> 剩余 85% 股权，补强运动饮料</w:t>
      </w:r>
      <w:r>
        <w:t>。</w:t>
      </w:r>
    </w:p>
    <w:p w14:paraId="14378493" w14:textId="1790EF33" w:rsidR="00AC3E44" w:rsidRDefault="00AC3E44" w:rsidP="00AC3E44">
      <w:r>
        <w:t>2022 年，3 月公司宣布暂停在俄罗斯的业务。</w:t>
      </w:r>
    </w:p>
    <w:p w14:paraId="786CA8A5" w14:textId="2E353DE3" w:rsidR="00AC3E44" w:rsidRDefault="00AC3E44" w:rsidP="00AC3E44">
      <w:r w:rsidRPr="0054271A">
        <w:rPr>
          <w:b/>
          <w:bCs/>
        </w:rPr>
        <w:lastRenderedPageBreak/>
        <w:t>2023–2025 年，再特许重新提速</w:t>
      </w:r>
      <w:r>
        <w:t>。 公司出售越南、柬埔寨、印度部分区域、孟加拉国、菲律宾、尼日利亚成品业务等地的装瓶业务，并减持 CCEP 等装瓶合作伙伴的权益。其中 2024 年处置收入合计 34.9 亿美元（含菲律宾 16.5 亿美元，及泰国权益法投资 7.2 亿美元），2025 年合计 35.7 亿美元。员工数由 2024 年底的 69,700 人降至 2025 年底的 65,900 人。2024 年 11 月公司宣布撤销 Global Ventures 分部，自 2025 年 1 月起恢复为 EMEA、拉美、北美、亚太、装瓶投资五个分部。</w:t>
      </w:r>
    </w:p>
    <w:p w14:paraId="3AE924F2" w14:textId="4B93F672" w:rsidR="00BF35B0" w:rsidRPr="00AC3E44" w:rsidRDefault="00AC3E44" w:rsidP="00BF35B0">
      <w:r>
        <w:t>2026 年，詹姆斯·昆西（James Quincey）自 2017 年 5 月任 CEO、2019 年 4 月任董事长，其卸任 CEO、转任执行董事长的生效日期为 3 月 31 日。时任 COO 亨里克·布劳恩（Henrique Braun）在 2026Q1 10-Q 中已署名为 CEO。</w:t>
      </w:r>
    </w:p>
    <w:p w14:paraId="1D3B3D98" w14:textId="77777777" w:rsidR="00BF35B0" w:rsidRDefault="00BF35B0" w:rsidP="00BF35B0"/>
    <w:p w14:paraId="04B6B65B" w14:textId="6A50E9D1" w:rsidR="00BF35B0" w:rsidRDefault="000023AB" w:rsidP="000023AB">
      <w:pPr>
        <w:pStyle w:val="2"/>
      </w:pPr>
      <w:r>
        <w:rPr>
          <w:rFonts w:hint="eastAsia"/>
        </w:rPr>
        <w:t>商业模式</w:t>
      </w:r>
    </w:p>
    <w:p w14:paraId="414E4B05" w14:textId="77777777" w:rsidR="00A5054A" w:rsidRDefault="00A5054A" w:rsidP="00A5054A">
      <w:pPr>
        <w:pStyle w:val="3"/>
      </w:pPr>
      <w:r>
        <w:rPr>
          <w:rFonts w:hint="eastAsia"/>
        </w:rPr>
        <w:t>产品组合与消费场景</w:t>
      </w:r>
    </w:p>
    <w:p w14:paraId="58FA2301" w14:textId="60DF4403" w:rsidR="00A5054A" w:rsidRDefault="00257500" w:rsidP="00A5054A">
      <w:r>
        <w:rPr>
          <w:rFonts w:hint="eastAsia"/>
        </w:rPr>
        <w:t>可口可乐</w:t>
      </w:r>
      <w:r w:rsidRPr="00257500">
        <w:t>公司将自己定位为“全品类饮料公司”（total beverage company）。这里的 beverage 就是“饮料”，范围包括碳酸软饮、瓶装水、运动饮料、果汁、乳饮、咖啡和茶等。可以从消费者一天的饮用需求出发理解这套组合：早餐喝牛奶或果汁，上班途中买咖啡，午餐搭配可乐，运动时补水，运动后饮用蛋白饮，下午购买瓶装茶。可口可乐希望在这些不同场景中提供产品。</w:t>
      </w:r>
    </w:p>
    <w:p w14:paraId="6BECD416" w14:textId="2C4601D4" w:rsidR="006A1B08" w:rsidRDefault="006A1B08" w:rsidP="006A1B08">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w:t>
      </w:r>
      <w:r>
        <w:fldChar w:fldCharType="end"/>
      </w:r>
      <w:r>
        <w:rPr>
          <w:rFonts w:hint="eastAsia"/>
        </w:rPr>
        <w:t>：产品组合</w:t>
      </w:r>
    </w:p>
    <w:p w14:paraId="049F39D2" w14:textId="4191D247" w:rsidR="00A5054A" w:rsidRDefault="006A1B08" w:rsidP="00A5054A">
      <w:r w:rsidRPr="006A1B08">
        <w:rPr>
          <w:noProof/>
        </w:rPr>
        <w:drawing>
          <wp:inline distT="0" distB="0" distL="0" distR="0" wp14:anchorId="123CC829" wp14:editId="2F239254">
            <wp:extent cx="6645910" cy="3261360"/>
            <wp:effectExtent l="0" t="0" r="0" b="2540"/>
            <wp:docPr id="589447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7204" name=""/>
                    <pic:cNvPicPr/>
                  </pic:nvPicPr>
                  <pic:blipFill>
                    <a:blip r:embed="rId5"/>
                    <a:stretch>
                      <a:fillRect/>
                    </a:stretch>
                  </pic:blipFill>
                  <pic:spPr>
                    <a:xfrm>
                      <a:off x="0" y="0"/>
                      <a:ext cx="6645910" cy="3261360"/>
                    </a:xfrm>
                    <a:prstGeom prst="rect">
                      <a:avLst/>
                    </a:prstGeom>
                  </pic:spPr>
                </pic:pic>
              </a:graphicData>
            </a:graphic>
          </wp:inline>
        </w:drawing>
      </w:r>
    </w:p>
    <w:p w14:paraId="2160D3DC" w14:textId="6805F876" w:rsidR="00A5054A" w:rsidRPr="000E41A6" w:rsidRDefault="000E41A6" w:rsidP="000E41A6">
      <w:pPr>
        <w:pStyle w:val="a9"/>
        <w:numPr>
          <w:ilvl w:val="0"/>
          <w:numId w:val="12"/>
        </w:numPr>
        <w:rPr>
          <w:b/>
          <w:bCs/>
        </w:rPr>
      </w:pPr>
      <w:r w:rsidRPr="000E41A6">
        <w:rPr>
          <w:rFonts w:hint="eastAsia"/>
          <w:b/>
          <w:bCs/>
        </w:rPr>
        <w:t>碳酸软饮</w:t>
      </w:r>
    </w:p>
    <w:p w14:paraId="612C75DA" w14:textId="50D45DA2" w:rsidR="00A5054A" w:rsidRDefault="00957B4D" w:rsidP="00A5054A">
      <w:r w:rsidRPr="00957B4D">
        <w:rPr>
          <w:noProof/>
        </w:rPr>
        <w:lastRenderedPageBreak/>
        <w:drawing>
          <wp:inline distT="0" distB="0" distL="0" distR="0" wp14:anchorId="7E18E4F7" wp14:editId="5F7A22F7">
            <wp:extent cx="6645910" cy="2552700"/>
            <wp:effectExtent l="0" t="0" r="0" b="0"/>
            <wp:docPr id="184233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5033" name=""/>
                    <pic:cNvPicPr/>
                  </pic:nvPicPr>
                  <pic:blipFill>
                    <a:blip r:embed="rId6"/>
                    <a:stretch>
                      <a:fillRect/>
                    </a:stretch>
                  </pic:blipFill>
                  <pic:spPr>
                    <a:xfrm>
                      <a:off x="0" y="0"/>
                      <a:ext cx="6645910" cy="2552700"/>
                    </a:xfrm>
                    <a:prstGeom prst="rect">
                      <a:avLst/>
                    </a:prstGeom>
                  </pic:spPr>
                </pic:pic>
              </a:graphicData>
            </a:graphic>
          </wp:inline>
        </w:drawing>
      </w:r>
    </w:p>
    <w:p w14:paraId="29448EEA" w14:textId="39579539" w:rsidR="00A5054A" w:rsidRDefault="0013144E" w:rsidP="00A5054A">
      <w:r w:rsidRPr="0013144E">
        <w:t>同一个品牌还可以通过口味、糖含量、包装容量和销售形式形成多种产品。</w:t>
      </w:r>
    </w:p>
    <w:p w14:paraId="3F4E7E41" w14:textId="77777777" w:rsidR="00A5054A" w:rsidRDefault="00A5054A" w:rsidP="00A5054A"/>
    <w:p w14:paraId="68FC159F" w14:textId="7A1620EA" w:rsidR="00293495" w:rsidRPr="00293495" w:rsidRDefault="00293495" w:rsidP="00293495">
      <w:pPr>
        <w:pStyle w:val="a9"/>
        <w:numPr>
          <w:ilvl w:val="0"/>
          <w:numId w:val="12"/>
        </w:numPr>
        <w:rPr>
          <w:b/>
          <w:bCs/>
        </w:rPr>
      </w:pPr>
      <w:r w:rsidRPr="00293495">
        <w:rPr>
          <w:rFonts w:hint="eastAsia"/>
          <w:b/>
          <w:bCs/>
        </w:rPr>
        <w:t>水与运动补水</w:t>
      </w:r>
    </w:p>
    <w:p w14:paraId="26B86A51" w14:textId="77777777" w:rsidR="004760C3" w:rsidRDefault="00E6166F" w:rsidP="00AD597A">
      <w:r w:rsidRPr="00E6166F">
        <w:t>官网中的 hydration 可以理解为“补水”。这一类别涵盖的产品较广，需要进一步区分普通饮用水、气泡水和运动饮料。</w:t>
      </w:r>
    </w:p>
    <w:p w14:paraId="71305395" w14:textId="70DE999F" w:rsidR="00E6166F" w:rsidRDefault="00AD597A" w:rsidP="00AD597A">
      <w:r w:rsidRPr="00AD597A">
        <w:rPr>
          <w:noProof/>
        </w:rPr>
        <w:drawing>
          <wp:inline distT="0" distB="0" distL="0" distR="0" wp14:anchorId="6398419E" wp14:editId="535DE16A">
            <wp:extent cx="6645910" cy="3061970"/>
            <wp:effectExtent l="0" t="0" r="0" b="0"/>
            <wp:docPr id="167079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0530" name=""/>
                    <pic:cNvPicPr/>
                  </pic:nvPicPr>
                  <pic:blipFill>
                    <a:blip r:embed="rId7"/>
                    <a:stretch>
                      <a:fillRect/>
                    </a:stretch>
                  </pic:blipFill>
                  <pic:spPr>
                    <a:xfrm>
                      <a:off x="0" y="0"/>
                      <a:ext cx="6645910" cy="3061970"/>
                    </a:xfrm>
                    <a:prstGeom prst="rect">
                      <a:avLst/>
                    </a:prstGeom>
                  </pic:spPr>
                </pic:pic>
              </a:graphicData>
            </a:graphic>
          </wp:inline>
        </w:drawing>
      </w:r>
    </w:p>
    <w:p w14:paraId="2C5D778C" w14:textId="4C00D718" w:rsidR="00E6166F" w:rsidRDefault="003D5F77" w:rsidP="00A5054A">
      <w:r w:rsidRPr="003D5F77">
        <w:t>此外，</w:t>
      </w:r>
      <w:proofErr w:type="spellStart"/>
      <w:r w:rsidRPr="003D5F77">
        <w:t>vitaminwater</w:t>
      </w:r>
      <w:proofErr w:type="spellEnd"/>
      <w:r w:rsidRPr="003D5F77">
        <w:t xml:space="preserve"> 是添加维生素的风味水，购买者选择的既包括饮水需求，也包括风味和产品定位。</w:t>
      </w:r>
    </w:p>
    <w:p w14:paraId="6DA30680" w14:textId="77777777" w:rsidR="00E6166F" w:rsidRDefault="00E6166F" w:rsidP="00A5054A"/>
    <w:p w14:paraId="2379C0D6" w14:textId="35219288" w:rsidR="00E6166F" w:rsidRPr="00AC02EB" w:rsidRDefault="00AC02EB" w:rsidP="00AC02EB">
      <w:pPr>
        <w:pStyle w:val="a9"/>
        <w:numPr>
          <w:ilvl w:val="0"/>
          <w:numId w:val="12"/>
        </w:numPr>
        <w:rPr>
          <w:b/>
          <w:bCs/>
        </w:rPr>
      </w:pPr>
      <w:r w:rsidRPr="00AC02EB">
        <w:rPr>
          <w:rFonts w:hint="eastAsia"/>
          <w:b/>
          <w:bCs/>
        </w:rPr>
        <w:t>果汁与果味饮料</w:t>
      </w:r>
    </w:p>
    <w:p w14:paraId="20DF79A0" w14:textId="79D294C3" w:rsidR="00E6166F" w:rsidRDefault="00AC02EB" w:rsidP="00A5054A">
      <w:r w:rsidRPr="00AC02EB">
        <w:rPr>
          <w:noProof/>
        </w:rPr>
        <w:lastRenderedPageBreak/>
        <w:drawing>
          <wp:inline distT="0" distB="0" distL="0" distR="0" wp14:anchorId="1EA1EC30" wp14:editId="55C07E3D">
            <wp:extent cx="6645910" cy="2632075"/>
            <wp:effectExtent l="0" t="0" r="0" b="0"/>
            <wp:docPr id="1325521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1429" name=""/>
                    <pic:cNvPicPr/>
                  </pic:nvPicPr>
                  <pic:blipFill>
                    <a:blip r:embed="rId8"/>
                    <a:stretch>
                      <a:fillRect/>
                    </a:stretch>
                  </pic:blipFill>
                  <pic:spPr>
                    <a:xfrm>
                      <a:off x="0" y="0"/>
                      <a:ext cx="6645910" cy="2632075"/>
                    </a:xfrm>
                    <a:prstGeom prst="rect">
                      <a:avLst/>
                    </a:prstGeom>
                  </pic:spPr>
                </pic:pic>
              </a:graphicData>
            </a:graphic>
          </wp:inline>
        </w:drawing>
      </w:r>
    </w:p>
    <w:p w14:paraId="7D908CDD" w14:textId="77777777" w:rsidR="00E6166F" w:rsidRDefault="00E6166F" w:rsidP="00A5054A"/>
    <w:p w14:paraId="11CD2603" w14:textId="5CBACBC1" w:rsidR="00E6166F" w:rsidRPr="00AD0133" w:rsidRDefault="00AD0133" w:rsidP="00AD0133">
      <w:pPr>
        <w:pStyle w:val="a9"/>
        <w:numPr>
          <w:ilvl w:val="0"/>
          <w:numId w:val="12"/>
        </w:numPr>
        <w:rPr>
          <w:b/>
          <w:bCs/>
        </w:rPr>
      </w:pPr>
      <w:r w:rsidRPr="00AD0133">
        <w:rPr>
          <w:rFonts w:hint="eastAsia"/>
          <w:b/>
          <w:bCs/>
        </w:rPr>
        <w:t>乳制品与蛋白饮</w:t>
      </w:r>
    </w:p>
    <w:p w14:paraId="2D887B03" w14:textId="11E39EC3" w:rsidR="00E6166F" w:rsidRDefault="00487A08" w:rsidP="00A5054A">
      <w:proofErr w:type="spellStart"/>
      <w:r w:rsidRPr="00487A08">
        <w:t>fairlife</w:t>
      </w:r>
      <w:proofErr w:type="spellEnd"/>
      <w:r w:rsidRPr="00487A08">
        <w:t xml:space="preserve"> 是可口可乐旗下的乳制品业务，也是部分产品使用的品牌名称。其产品由真实牛奶制成，公司将它定位为围绕高蛋白、低糖等特点开发产品的营养型乳品业务。可口可乐公司官网明确列出其三条主要产品线：超滤牛奶、Core Power蛋白饮和Nutrition Plan营养饮。</w:t>
      </w:r>
    </w:p>
    <w:p w14:paraId="2C08FBE4" w14:textId="1F8758FC" w:rsidR="00E6166F" w:rsidRDefault="00487A08" w:rsidP="00A5054A">
      <w:r w:rsidRPr="00487A08">
        <w:rPr>
          <w:noProof/>
        </w:rPr>
        <w:drawing>
          <wp:inline distT="0" distB="0" distL="0" distR="0" wp14:anchorId="266D7A1D" wp14:editId="2566DF2E">
            <wp:extent cx="6645910" cy="1572260"/>
            <wp:effectExtent l="0" t="0" r="0" b="2540"/>
            <wp:docPr id="15588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1046" name=""/>
                    <pic:cNvPicPr/>
                  </pic:nvPicPr>
                  <pic:blipFill>
                    <a:blip r:embed="rId9"/>
                    <a:stretch>
                      <a:fillRect/>
                    </a:stretch>
                  </pic:blipFill>
                  <pic:spPr>
                    <a:xfrm>
                      <a:off x="0" y="0"/>
                      <a:ext cx="6645910" cy="1572260"/>
                    </a:xfrm>
                    <a:prstGeom prst="rect">
                      <a:avLst/>
                    </a:prstGeom>
                  </pic:spPr>
                </pic:pic>
              </a:graphicData>
            </a:graphic>
          </wp:inline>
        </w:drawing>
      </w:r>
    </w:p>
    <w:p w14:paraId="235954AA" w14:textId="77777777" w:rsidR="00293495" w:rsidRDefault="00293495" w:rsidP="00A5054A"/>
    <w:p w14:paraId="7C165B52" w14:textId="57ED0575" w:rsidR="002646D2" w:rsidRPr="002D2C30" w:rsidRDefault="002D2C30" w:rsidP="002D2C30">
      <w:pPr>
        <w:pStyle w:val="a9"/>
        <w:numPr>
          <w:ilvl w:val="0"/>
          <w:numId w:val="12"/>
        </w:numPr>
        <w:rPr>
          <w:b/>
          <w:bCs/>
        </w:rPr>
      </w:pPr>
      <w:r w:rsidRPr="002D2C30">
        <w:rPr>
          <w:rFonts w:hint="eastAsia"/>
          <w:b/>
          <w:bCs/>
        </w:rPr>
        <w:t>咖啡与茶</w:t>
      </w:r>
    </w:p>
    <w:p w14:paraId="064B6D2A" w14:textId="1EB743CE" w:rsidR="002646D2" w:rsidRDefault="00A02BC3" w:rsidP="00A5054A">
      <w:r w:rsidRPr="00A02BC3">
        <w:t>Costa Coffee 起源于英国，</w:t>
      </w:r>
      <w:r w:rsidR="00DE083C" w:rsidRPr="00A02BC3">
        <w:t>业务覆盖多种咖啡消费方式</w:t>
      </w:r>
      <w:r w:rsidR="00DE083C">
        <w:rPr>
          <w:rFonts w:hint="eastAsia"/>
        </w:rPr>
        <w:t>，</w:t>
      </w:r>
      <w:r w:rsidRPr="00A02BC3">
        <w:t>可口可乐公司于2019年完成收购。</w:t>
      </w:r>
    </w:p>
    <w:p w14:paraId="5246A41C" w14:textId="48190A8A" w:rsidR="00532FF9" w:rsidRDefault="00532FF9" w:rsidP="00A5054A">
      <w:r w:rsidRPr="00532FF9">
        <w:t>“即饮”对应英文 ready-to-drink，简称RTD，意思是买到后即可饮用。瓶装茶、罐装咖啡和Core Power都可以采用即饮形式。Costa Express则属于现场制作咖啡的设备业务。</w:t>
      </w:r>
    </w:p>
    <w:p w14:paraId="36D97FF2" w14:textId="361D0652" w:rsidR="002646D2" w:rsidRDefault="00532FF9" w:rsidP="00A5054A">
      <w:r w:rsidRPr="00532FF9">
        <w:rPr>
          <w:noProof/>
        </w:rPr>
        <w:drawing>
          <wp:inline distT="0" distB="0" distL="0" distR="0" wp14:anchorId="12883E3A" wp14:editId="3E7A294A">
            <wp:extent cx="6645910" cy="1642110"/>
            <wp:effectExtent l="0" t="0" r="0" b="0"/>
            <wp:docPr id="1450757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57214" name=""/>
                    <pic:cNvPicPr/>
                  </pic:nvPicPr>
                  <pic:blipFill>
                    <a:blip r:embed="rId10"/>
                    <a:stretch>
                      <a:fillRect/>
                    </a:stretch>
                  </pic:blipFill>
                  <pic:spPr>
                    <a:xfrm>
                      <a:off x="0" y="0"/>
                      <a:ext cx="6645910" cy="1642110"/>
                    </a:xfrm>
                    <a:prstGeom prst="rect">
                      <a:avLst/>
                    </a:prstGeom>
                  </pic:spPr>
                </pic:pic>
              </a:graphicData>
            </a:graphic>
          </wp:inline>
        </w:drawing>
      </w:r>
    </w:p>
    <w:p w14:paraId="7FCDF79B" w14:textId="1A66365D" w:rsidR="0022030A" w:rsidRPr="00532FF9" w:rsidRDefault="0022030A" w:rsidP="00A5054A">
      <w:r w:rsidRPr="0022030A">
        <w:t>可口可乐还有多种包装咖啡和茶品牌</w:t>
      </w:r>
      <w:r>
        <w:rPr>
          <w:rFonts w:hint="eastAsia"/>
        </w:rPr>
        <w:t>。</w:t>
      </w:r>
    </w:p>
    <w:p w14:paraId="0A58237B" w14:textId="1BD28511" w:rsidR="007649D5" w:rsidRDefault="00532FF9" w:rsidP="00A5054A">
      <w:r w:rsidRPr="00532FF9">
        <w:rPr>
          <w:noProof/>
        </w:rPr>
        <w:lastRenderedPageBreak/>
        <w:drawing>
          <wp:inline distT="0" distB="0" distL="0" distR="0" wp14:anchorId="7647A22F" wp14:editId="51D2ABB7">
            <wp:extent cx="6645910" cy="1665605"/>
            <wp:effectExtent l="0" t="0" r="0" b="0"/>
            <wp:docPr id="1097615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5451" name=""/>
                    <pic:cNvPicPr/>
                  </pic:nvPicPr>
                  <pic:blipFill>
                    <a:blip r:embed="rId11"/>
                    <a:stretch>
                      <a:fillRect/>
                    </a:stretch>
                  </pic:blipFill>
                  <pic:spPr>
                    <a:xfrm>
                      <a:off x="0" y="0"/>
                      <a:ext cx="6645910" cy="1665605"/>
                    </a:xfrm>
                    <a:prstGeom prst="rect">
                      <a:avLst/>
                    </a:prstGeom>
                  </pic:spPr>
                </pic:pic>
              </a:graphicData>
            </a:graphic>
          </wp:inline>
        </w:drawing>
      </w:r>
    </w:p>
    <w:p w14:paraId="64673552" w14:textId="77777777" w:rsidR="007649D5" w:rsidRDefault="007649D5" w:rsidP="00A5054A"/>
    <w:p w14:paraId="43936447" w14:textId="731F430F" w:rsidR="007649D5" w:rsidRPr="003B40ED" w:rsidRDefault="003B40ED" w:rsidP="003B40ED">
      <w:pPr>
        <w:pStyle w:val="a9"/>
        <w:numPr>
          <w:ilvl w:val="0"/>
          <w:numId w:val="12"/>
        </w:numPr>
        <w:rPr>
          <w:b/>
          <w:bCs/>
        </w:rPr>
      </w:pPr>
      <w:r w:rsidRPr="003B40ED">
        <w:rPr>
          <w:b/>
          <w:bCs/>
        </w:rPr>
        <w:t>能量饮料与酒精即饮</w:t>
      </w:r>
    </w:p>
    <w:p w14:paraId="559F70AD" w14:textId="5F3E1AA4" w:rsidR="003B40ED" w:rsidRDefault="003B40ED" w:rsidP="003B40ED">
      <w:r>
        <w:t>Monster（魔爪）是能量饮料品牌，属于独立的Monster Beverage公司。可口可乐与Monster建立了股权及分销合作，可口可乐体系中的部分装瓶商在指定区域经销Monster产品。因此，消费者可能在可口可乐体系服务的渠道中看到魔爪。</w:t>
      </w:r>
    </w:p>
    <w:p w14:paraId="69E30FDE" w14:textId="60B28406" w:rsidR="007649D5" w:rsidRDefault="003B40ED" w:rsidP="003B40ED">
      <w:r>
        <w:t>可口可乐也在部分市场拓展酒精即饮产品。官网列出的例子包括Jack Daniel’s &amp; Coca-Cola预调鸡尾酒、Simply Spiked，以及Topo Chico Hard酒精气泡饮料。</w:t>
      </w:r>
    </w:p>
    <w:p w14:paraId="07D3C268" w14:textId="77777777" w:rsidR="00293495" w:rsidRDefault="00293495" w:rsidP="00A5054A"/>
    <w:p w14:paraId="5F493CD0" w14:textId="21378DF4" w:rsidR="00293495" w:rsidRPr="003B40ED" w:rsidRDefault="003B40ED" w:rsidP="003B40ED">
      <w:pPr>
        <w:pStyle w:val="a9"/>
        <w:numPr>
          <w:ilvl w:val="0"/>
          <w:numId w:val="13"/>
        </w:numPr>
        <w:rPr>
          <w:b/>
          <w:bCs/>
        </w:rPr>
      </w:pPr>
      <w:r w:rsidRPr="003B40ED">
        <w:rPr>
          <w:b/>
          <w:bCs/>
        </w:rPr>
        <w:t>产品地图</w:t>
      </w:r>
    </w:p>
    <w:p w14:paraId="0482D122" w14:textId="30B6C45E" w:rsidR="003B40ED" w:rsidRDefault="003B40ED" w:rsidP="00A5054A">
      <w:r w:rsidRPr="003B40ED">
        <w:t>由此可以建立一个具体的产品地图：可口可乐品牌提供可乐，雪碧和芬达提供其他汽水口味，水与运动饮料覆盖补水需求，美汁源等覆盖果汁和果味饮品，</w:t>
      </w:r>
      <w:proofErr w:type="spellStart"/>
      <w:r w:rsidRPr="003B40ED">
        <w:t>fairlife</w:t>
      </w:r>
      <w:proofErr w:type="spellEnd"/>
      <w:r w:rsidRPr="003B40ED">
        <w:t>及Core Power覆盖差异化乳品与蛋白饮，Santa Clara覆盖当地乳品消费，Costa及Georgia等覆盖不同形式的咖啡消费。</w:t>
      </w:r>
    </w:p>
    <w:p w14:paraId="24779B4A" w14:textId="77777777" w:rsidR="003B40ED" w:rsidRDefault="003B40ED" w:rsidP="00A5054A"/>
    <w:p w14:paraId="64D75A25" w14:textId="6B79EB8D" w:rsidR="004320E5" w:rsidRDefault="004320E5" w:rsidP="004320E5">
      <w:pPr>
        <w:pStyle w:val="3"/>
      </w:pPr>
      <w:r>
        <w:rPr>
          <w:rFonts w:hint="eastAsia"/>
        </w:rPr>
        <w:t>模式分析</w:t>
      </w:r>
    </w:p>
    <w:p w14:paraId="59D5190D" w14:textId="1C7C3A5A" w:rsidR="005041BB" w:rsidRPr="00FE03D4" w:rsidRDefault="00FE03D4" w:rsidP="00FE03D4">
      <w:pPr>
        <w:pStyle w:val="a9"/>
        <w:numPr>
          <w:ilvl w:val="0"/>
          <w:numId w:val="6"/>
        </w:numPr>
        <w:rPr>
          <w:b/>
          <w:bCs/>
        </w:rPr>
      </w:pPr>
      <w:r w:rsidRPr="00FE03D4">
        <w:rPr>
          <w:rFonts w:hint="eastAsia"/>
          <w:b/>
          <w:bCs/>
        </w:rPr>
        <w:t>价值链定位</w:t>
      </w:r>
    </w:p>
    <w:p w14:paraId="4511578D" w14:textId="37881751" w:rsidR="00FE03D4" w:rsidRDefault="00FE03D4" w:rsidP="00FE03D4">
      <w:r>
        <w:t>可口可乐的商业模式以品牌、产品和浓缩液供货为核心，通过装瓶伙伴完成大部分当地制造与分销。公司负责品牌运营、产品开发、浓缩液和糖浆供应，并与装瓶商共同推动市场销售；装瓶商将浓缩液加工成饮料，完成灌装、包装和配送，再通过零售、批发及餐饮渠道触达消费者。</w:t>
      </w:r>
    </w:p>
    <w:p w14:paraId="45588487" w14:textId="76FCBA82" w:rsidR="00FE03D4" w:rsidRDefault="00FE03D4" w:rsidP="00FE03D4">
      <w:r>
        <w:t>按年报披露，公司有两类业务。浓缩液业务主要向获授权的装瓶商销售浓缩液、糖浆和部分成品；装瓶商添加水及适用的甜味剂，生产并销售饮料。成品业务则由公司直接向零售商、分销商或批发商销售饮料，包括自有装瓶、部分非装瓶成品业务，以及 Costa 门店等。在美国，餐饮糖浆通常也由公司生产，再供应给餐饮零售商或授权批发商。公司披露，成品业务通常产生较高的收入，但毛利率低于浓缩液业务。</w:t>
      </w:r>
    </w:p>
    <w:p w14:paraId="2A0A9EE6" w14:textId="6FE113BE" w:rsidR="00FE03D4" w:rsidRPr="00FE03D4" w:rsidRDefault="00FE03D4" w:rsidP="00FE03D4">
      <w:r>
        <w:t>因此，可口可乐整体包含不同程度的制造、分销和零售活动。其经济核心仍是通过浓缩液业务，将品牌需求与装瓶商的当地经营连接起来；不同业务的规模、利润率及资本需求，需在经营分析中分别评价。</w:t>
      </w:r>
    </w:p>
    <w:p w14:paraId="2450E5D5" w14:textId="77777777" w:rsidR="005041BB" w:rsidRDefault="005041BB" w:rsidP="00BF35B0"/>
    <w:p w14:paraId="4F7FA457" w14:textId="77777777" w:rsidR="005B52F2" w:rsidRPr="005B52F2" w:rsidRDefault="005B52F2" w:rsidP="005B52F2">
      <w:pPr>
        <w:pStyle w:val="a9"/>
        <w:numPr>
          <w:ilvl w:val="0"/>
          <w:numId w:val="7"/>
        </w:numPr>
        <w:rPr>
          <w:b/>
          <w:bCs/>
        </w:rPr>
      </w:pPr>
      <w:r w:rsidRPr="005B52F2">
        <w:rPr>
          <w:b/>
          <w:bCs/>
        </w:rPr>
        <w:t>与装瓶商的合同关系</w:t>
      </w:r>
    </w:p>
    <w:p w14:paraId="6ED07E56" w14:textId="092943E9" w:rsidR="005B52F2" w:rsidRDefault="005B52F2" w:rsidP="005B52F2">
      <w:r>
        <w:t>装瓶商是独立承包商，并非可口可乐公司的代理人。装瓶授权本身不构成法律上的合伙或合资关系；公司持</w:t>
      </w:r>
      <w:r>
        <w:lastRenderedPageBreak/>
        <w:t>有部分装瓶商股权，是另一个层面的投资关系。</w:t>
      </w:r>
    </w:p>
    <w:p w14:paraId="4F8B9630" w14:textId="5BFC081E" w:rsidR="005B52F2" w:rsidRDefault="005B52F2" w:rsidP="005B52F2">
      <w:r>
        <w:t>装瓶协议通常授权装瓶商在指定区域，以指定包装生产、分销和销售公司的商标饮料，并要求其向公司或公司指定供应商购买这些饮料所需的全部浓缩液或糖浆。公司通常也承诺，不在约定区域和包装范围内另行授权竞争性的销售安排，但保留处理跨区域大客户，以及采用其他方式或包装销售的部分权利。</w:t>
      </w:r>
    </w:p>
    <w:p w14:paraId="398FF760" w14:textId="671843D7" w:rsidR="00BF35B0" w:rsidRDefault="005B52F2" w:rsidP="005B52F2">
      <w:r>
        <w:t>美国多数装瓶商采用综合饮料协议，即 Comprehensive Beverage Agreement，简称 CBA。主要协议设有十年期限和连续续期安排，并包含全国治理、联动定价及绩效要求；具体续期权因合同类型而异。合同的长期性有利于双方规划投资，但不意味着装瓶商可以无条件永久经营，公司保留因不履约或约定违约事件终止协议的权利。</w:t>
      </w:r>
    </w:p>
    <w:p w14:paraId="4D5E185B" w14:textId="77777777" w:rsidR="006D1F7C" w:rsidRPr="006D1F7C" w:rsidRDefault="006D1F7C" w:rsidP="00BF35B0"/>
    <w:p w14:paraId="370634D1" w14:textId="77777777" w:rsidR="00B51A87" w:rsidRPr="00B51A87" w:rsidRDefault="00B51A87" w:rsidP="00B51A87">
      <w:pPr>
        <w:pStyle w:val="a9"/>
        <w:numPr>
          <w:ilvl w:val="0"/>
          <w:numId w:val="7"/>
        </w:numPr>
        <w:rPr>
          <w:b/>
          <w:bCs/>
        </w:rPr>
      </w:pPr>
      <w:r w:rsidRPr="00B51A87">
        <w:rPr>
          <w:b/>
          <w:bCs/>
        </w:rPr>
        <w:t>定价与收入形成</w:t>
      </w:r>
    </w:p>
    <w:p w14:paraId="04250414" w14:textId="39AF52A0" w:rsidR="00B51A87" w:rsidRDefault="00B51A87" w:rsidP="00B51A87">
      <w:r>
        <w:t>多数装瓶协议赋予公司较大的浓缩液和糖浆定价灵活性，但这种权利的实际使用受到市场竞争和装瓶商经营状况约束。多数市场采用 incidence-based pricing，即联动定价：</w:t>
      </w:r>
      <w:r w:rsidRPr="007426E4">
        <w:rPr>
          <w:b/>
          <w:bCs/>
        </w:rPr>
        <w:t>公司收取的浓缩液价格受到装瓶商成品售价、销售渠道和包装组合等因素影响</w:t>
      </w:r>
      <w:r>
        <w:t>。</w:t>
      </w:r>
    </w:p>
    <w:p w14:paraId="1B1A380D" w14:textId="32225A65" w:rsidR="00B51A87" w:rsidRDefault="00B51A87" w:rsidP="00B51A87">
      <w:r>
        <w:t>这一机制使公司能够参与终端价值的改善。当装瓶商提高售价，或销售结构转向更高单位价值的渠道和包装时，相关变化可以传导至公司的浓缩液收入。</w:t>
      </w:r>
    </w:p>
    <w:p w14:paraId="57E51AD2" w14:textId="77777777" w:rsidR="00B51A87" w:rsidRDefault="00B51A87" w:rsidP="00B51A87">
      <w:r>
        <w:t>但年报没有披露适用于所有市场的统一分成比例，不能假定终端售价与浓缩液价格同比例变动。公司的价格与组合指标也包含多种因素：收入改善可能来自提价，也可能来自产品、包装、渠道或地域结构变化。</w:t>
      </w:r>
    </w:p>
    <w:p w14:paraId="12D3252E" w14:textId="77777777" w:rsidR="00BC4564" w:rsidRDefault="00BC4564" w:rsidP="00B51A87"/>
    <w:p w14:paraId="2282594A" w14:textId="77777777" w:rsidR="00BC4564" w:rsidRPr="00BC4564" w:rsidRDefault="00BC4564" w:rsidP="00BC4564">
      <w:pPr>
        <w:pStyle w:val="a9"/>
        <w:numPr>
          <w:ilvl w:val="0"/>
          <w:numId w:val="7"/>
        </w:numPr>
        <w:rPr>
          <w:b/>
          <w:bCs/>
        </w:rPr>
      </w:pPr>
      <w:r w:rsidRPr="00BC4564">
        <w:rPr>
          <w:b/>
          <w:bCs/>
        </w:rPr>
        <w:t>利润来源与持续投入</w:t>
      </w:r>
    </w:p>
    <w:p w14:paraId="7DA8304A" w14:textId="56DA2741" w:rsidR="00BC4564" w:rsidRDefault="00BC4564" w:rsidP="00BC4564">
      <w:r>
        <w:t>浓缩液业务的利润率优势，独立装瓶商承担多数当地灌装、包装和配送活动，使公司可以用相对较少的直接装瓶资产，服务广泛的市场。公司的品牌、产品及供货关系，则通过浓缩液销售形成收益。</w:t>
      </w:r>
    </w:p>
    <w:p w14:paraId="385180DE" w14:textId="1A80B631" w:rsidR="00BC4564" w:rsidRDefault="00BC4564" w:rsidP="00BC4564">
      <w:r>
        <w:t>这一模式仍需要持续投入。公司开展广告营销，开发产品和包装，并在多数情况下自主决定向装瓶商提供营销支持、资金或设备；也会向餐饮和零售客户提供相应支持。</w:t>
      </w:r>
    </w:p>
    <w:p w14:paraId="36A20546" w14:textId="77777777" w:rsidR="00BF35B0" w:rsidRDefault="00BF35B0" w:rsidP="00BF35B0"/>
    <w:p w14:paraId="04BC9B24" w14:textId="77777777" w:rsidR="00B624FB" w:rsidRPr="00B624FB" w:rsidRDefault="00B624FB" w:rsidP="00B624FB">
      <w:pPr>
        <w:pStyle w:val="a9"/>
        <w:numPr>
          <w:ilvl w:val="0"/>
          <w:numId w:val="7"/>
        </w:numPr>
        <w:rPr>
          <w:b/>
          <w:bCs/>
        </w:rPr>
      </w:pPr>
      <w:r w:rsidRPr="00B624FB">
        <w:rPr>
          <w:b/>
          <w:bCs/>
        </w:rPr>
        <w:t>自有装瓶业务与股权投资</w:t>
      </w:r>
    </w:p>
    <w:p w14:paraId="529879E9" w14:textId="799040FA" w:rsidR="00B624FB" w:rsidRDefault="00B624FB" w:rsidP="00B624FB">
      <w:r>
        <w:t>公司有时会收购或控制装瓶业务，尤其在当地资源不足或经营表现欠佳的市场。年报解释，</w:t>
      </w:r>
      <w:r w:rsidRPr="00552012">
        <w:rPr>
          <w:b/>
          <w:bCs/>
        </w:rPr>
        <w:t>自有装瓶可以帮助改善销售营销、业务系统及资本结构；随后，公司可能通过出售或减持，将经营交给独立装瓶商，以改善体系效率。</w:t>
      </w:r>
    </w:p>
    <w:p w14:paraId="46470894" w14:textId="4177B362" w:rsidR="00B624FB" w:rsidRDefault="00B624FB" w:rsidP="00B624FB">
      <w:r>
        <w:t>公司还持有部分装瓶商及其他战略被投资方的股权。对具有重大影响的投资采用权益法，确认应占净利润，并在被投资方分红时收到现金。这些投资包括 Monster 等非装瓶企业。</w:t>
      </w:r>
    </w:p>
    <w:p w14:paraId="00B10EF2" w14:textId="0CDFDE07" w:rsidR="00BF35B0" w:rsidRDefault="00B624FB" w:rsidP="00B624FB">
      <w:r>
        <w:t>同一家装瓶商可能通过采购浓缩液，为公司贡献销售收入；也可能通过股权关系，为公司贡献投资收益。权益法收益与实际收到的股息也需要分开分析，不能把账面投资收益全部视为同期可用现金。</w:t>
      </w:r>
    </w:p>
    <w:p w14:paraId="23971C74" w14:textId="77777777" w:rsidR="00BF35B0" w:rsidRDefault="00BF35B0" w:rsidP="00BF35B0"/>
    <w:p w14:paraId="00142C8F" w14:textId="77777777" w:rsidR="006D1F7C" w:rsidRPr="006D1F7C" w:rsidRDefault="006D1F7C" w:rsidP="006D1F7C">
      <w:pPr>
        <w:pStyle w:val="a9"/>
        <w:numPr>
          <w:ilvl w:val="0"/>
          <w:numId w:val="14"/>
        </w:numPr>
        <w:rPr>
          <w:b/>
          <w:bCs/>
        </w:rPr>
      </w:pPr>
      <w:r w:rsidRPr="006D1F7C">
        <w:rPr>
          <w:rFonts w:hint="eastAsia"/>
          <w:b/>
          <w:bCs/>
        </w:rPr>
        <w:t>成品业务</w:t>
      </w:r>
    </w:p>
    <w:p w14:paraId="20FE27D8" w14:textId="77777777" w:rsidR="006D1F7C" w:rsidRDefault="006D1F7C" w:rsidP="006D1F7C">
      <w:pPr>
        <w:rPr>
          <w:sz w:val="20"/>
          <w:szCs w:val="21"/>
        </w:rPr>
      </w:pPr>
      <w:r w:rsidRPr="00092043">
        <w:rPr>
          <w:noProof/>
          <w:sz w:val="20"/>
          <w:szCs w:val="21"/>
        </w:rPr>
        <w:lastRenderedPageBreak/>
        <w:drawing>
          <wp:inline distT="0" distB="0" distL="0" distR="0" wp14:anchorId="4EA1ACE5" wp14:editId="2B72AB61">
            <wp:extent cx="6645910" cy="918210"/>
            <wp:effectExtent l="0" t="0" r="0" b="0"/>
            <wp:docPr id="267306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06898" name=""/>
                    <pic:cNvPicPr/>
                  </pic:nvPicPr>
                  <pic:blipFill>
                    <a:blip r:embed="rId12"/>
                    <a:stretch>
                      <a:fillRect/>
                    </a:stretch>
                  </pic:blipFill>
                  <pic:spPr>
                    <a:xfrm>
                      <a:off x="0" y="0"/>
                      <a:ext cx="6645910" cy="918210"/>
                    </a:xfrm>
                    <a:prstGeom prst="rect">
                      <a:avLst/>
                    </a:prstGeom>
                  </pic:spPr>
                </pic:pic>
              </a:graphicData>
            </a:graphic>
          </wp:inline>
        </w:drawing>
      </w:r>
    </w:p>
    <w:p w14:paraId="4833D3C7" w14:textId="1109C29B" w:rsidR="0097793E" w:rsidRPr="0097793E" w:rsidRDefault="0097793E" w:rsidP="00BF35B0">
      <w:r w:rsidRPr="00B708FE">
        <w:rPr>
          <w:b/>
          <w:bCs/>
        </w:rPr>
        <w:t>当前美国成品业务主要包括现调糖浆及其他非装瓶成品业务；国际成品业务则同时包含合并装瓶业务与非装瓶成品业务。</w:t>
      </w:r>
    </w:p>
    <w:p w14:paraId="54E429B5" w14:textId="2139F9E0" w:rsidR="006D1F7C" w:rsidRPr="006D1F7C" w:rsidRDefault="006D1F7C" w:rsidP="00BF35B0">
      <w:r w:rsidRPr="006D1F7C">
        <w:t>这里的“非装瓶”是经营模式分类，不是指产品没有装在瓶子里，也不意味着KO没有工厂。例如，乳品、果汁可以是瓶装产品，但其生产销售业务不一定属于传统装瓶商经营体系。</w:t>
      </w:r>
    </w:p>
    <w:p w14:paraId="1789C495" w14:textId="51A3D88F" w:rsidR="006D1F7C" w:rsidRDefault="00224A0C" w:rsidP="00BF35B0">
      <w:r w:rsidRPr="00224A0C">
        <w:t>美国与国际的“成品收入”，虽然使用同一个名称，内部业务构成却不同。国际成品收入下降，需要重点检查</w:t>
      </w:r>
      <w:r w:rsidRPr="00C705BD">
        <w:rPr>
          <w:b/>
          <w:bCs/>
        </w:rPr>
        <w:t>装瓶业务出售</w:t>
      </w:r>
      <w:r w:rsidRPr="00224A0C">
        <w:t>、</w:t>
      </w:r>
      <w:r w:rsidRPr="00C705BD">
        <w:rPr>
          <w:b/>
          <w:bCs/>
        </w:rPr>
        <w:t>退出合并范围</w:t>
      </w:r>
      <w:r w:rsidRPr="00224A0C">
        <w:t>的影响；美国成品收入变化，则更多需要从保留业务的销量、价格和产品组合中寻找原因。因此，不能仅凭两地成品收入增速不同，就判断美国消费需求强、国际消费需求弱。</w:t>
      </w:r>
    </w:p>
    <w:p w14:paraId="1AE28BA6" w14:textId="77777777" w:rsidR="006D1F7C" w:rsidRDefault="006D1F7C" w:rsidP="00BF35B0"/>
    <w:p w14:paraId="169EB204" w14:textId="77777777" w:rsidR="00793CF9" w:rsidRPr="00793CF9" w:rsidRDefault="00793CF9" w:rsidP="00793CF9">
      <w:pPr>
        <w:pStyle w:val="a9"/>
        <w:numPr>
          <w:ilvl w:val="0"/>
          <w:numId w:val="7"/>
        </w:numPr>
        <w:rPr>
          <w:b/>
          <w:bCs/>
        </w:rPr>
      </w:pPr>
      <w:r w:rsidRPr="00793CF9">
        <w:rPr>
          <w:b/>
          <w:bCs/>
        </w:rPr>
        <w:t>商业模式的约束</w:t>
      </w:r>
    </w:p>
    <w:p w14:paraId="612013ED" w14:textId="7D251A2D" w:rsidR="00793CF9" w:rsidRDefault="00793CF9" w:rsidP="00793CF9">
      <w:r>
        <w:t>可口可乐的收益依赖装瓶商能够持续生产、销售和投资。年报明确指出，装瓶商的财务状况及其向客户传导涨价的能力，会限制公司提高浓缩液价格的实际空间。装瓶商作为独立企业，也可能在资源配置、营销支持和产品经营上与公司产生分歧。</w:t>
      </w:r>
    </w:p>
    <w:p w14:paraId="7F547C35" w14:textId="454E5834" w:rsidR="004320E5" w:rsidRDefault="00793CF9" w:rsidP="00BF35B0">
      <w:r>
        <w:t>因此，对这一模式的判断应同时考虑两端：消费者是否持续选择公司的产品，装瓶商是否能获得支持长期经营的回报。品牌需求、供货关系、联动定价和当地执行共同构成收入与利润的基础；任何一环受到损害，都可能削弱公司获取收益的能力。</w:t>
      </w:r>
    </w:p>
    <w:p w14:paraId="6B7256E3" w14:textId="77777777" w:rsidR="004320E5" w:rsidRDefault="004320E5" w:rsidP="00BF35B0"/>
    <w:p w14:paraId="5CA6D37E" w14:textId="251DF99E" w:rsidR="00BF35B0" w:rsidRDefault="00770CCE" w:rsidP="00770CCE">
      <w:pPr>
        <w:pStyle w:val="2"/>
      </w:pPr>
      <w:r>
        <w:rPr>
          <w:rFonts w:hint="eastAsia"/>
        </w:rPr>
        <w:t>经营分析</w:t>
      </w:r>
    </w:p>
    <w:p w14:paraId="070C80AA" w14:textId="77777777" w:rsidR="00BF35B0" w:rsidRDefault="00BF35B0" w:rsidP="00BF35B0">
      <w:pPr>
        <w:rPr>
          <w:rFonts w:hint="eastAsia"/>
        </w:rPr>
      </w:pPr>
    </w:p>
    <w:p w14:paraId="08A89FCA" w14:textId="38A8E495" w:rsidR="009508B5" w:rsidRDefault="006C2FB4" w:rsidP="00366F2F">
      <w:pPr>
        <w:pStyle w:val="3"/>
      </w:pPr>
      <w:r w:rsidRPr="006C2FB4">
        <w:rPr>
          <w:rFonts w:hint="eastAsia"/>
        </w:rPr>
        <w:t>销量与</w:t>
      </w:r>
      <w:r w:rsidR="004D3F98">
        <w:rPr>
          <w:rFonts w:hint="eastAsia"/>
        </w:rPr>
        <w:t>量增</w:t>
      </w:r>
      <w:r w:rsidR="00516591">
        <w:rPr>
          <w:rFonts w:hint="eastAsia"/>
        </w:rPr>
        <w:t>来源</w:t>
      </w:r>
    </w:p>
    <w:p w14:paraId="207E3182" w14:textId="24B5EF9C" w:rsidR="00F54CD5" w:rsidRPr="00581AA2" w:rsidRDefault="00F54CD5" w:rsidP="00581AA2">
      <w:pPr>
        <w:pStyle w:val="a9"/>
        <w:numPr>
          <w:ilvl w:val="0"/>
          <w:numId w:val="14"/>
        </w:numPr>
        <w:rPr>
          <w:b/>
          <w:bCs/>
        </w:rPr>
      </w:pPr>
      <w:r w:rsidRPr="00581AA2">
        <w:rPr>
          <w:rFonts w:hint="eastAsia"/>
          <w:b/>
          <w:bCs/>
        </w:rPr>
        <w:t>两种销量口径</w:t>
      </w:r>
    </w:p>
    <w:p w14:paraId="7D54C75D" w14:textId="744082B1" w:rsidR="00F54CD5" w:rsidRDefault="00E33C27" w:rsidP="00BC0CB2">
      <w:r w:rsidRPr="00E33C27">
        <w:rPr>
          <w:noProof/>
        </w:rPr>
        <w:drawing>
          <wp:inline distT="0" distB="0" distL="0" distR="0" wp14:anchorId="7E71B1F3" wp14:editId="575DD7E2">
            <wp:extent cx="6645910" cy="1507490"/>
            <wp:effectExtent l="0" t="0" r="0" b="3810"/>
            <wp:docPr id="1263308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8470" name=""/>
                    <pic:cNvPicPr/>
                  </pic:nvPicPr>
                  <pic:blipFill>
                    <a:blip r:embed="rId13"/>
                    <a:stretch>
                      <a:fillRect/>
                    </a:stretch>
                  </pic:blipFill>
                  <pic:spPr>
                    <a:xfrm>
                      <a:off x="0" y="0"/>
                      <a:ext cx="6645910" cy="1507490"/>
                    </a:xfrm>
                    <a:prstGeom prst="rect">
                      <a:avLst/>
                    </a:prstGeom>
                  </pic:spPr>
                </pic:pic>
              </a:graphicData>
            </a:graphic>
          </wp:inline>
        </w:drawing>
      </w:r>
    </w:p>
    <w:p w14:paraId="053CE4A3" w14:textId="22391117" w:rsidR="00AD69A4" w:rsidRDefault="00AD69A4" w:rsidP="00BC0CB2">
      <w:pPr>
        <w:rPr>
          <w:b/>
          <w:bCs/>
        </w:rPr>
      </w:pPr>
      <w:r w:rsidRPr="00AD69A4">
        <w:rPr>
          <w:b/>
          <w:bCs/>
        </w:rPr>
        <w:t>体系标准箱销量，基于公司从装瓶伙伴和分销商收到的估计数据计算得出。</w:t>
      </w:r>
      <w:r w:rsidRPr="00AD69A4">
        <w:t>官方定义是：可口可乐公司及其装瓶伙伴</w:t>
      </w:r>
      <w:r w:rsidR="00D74600">
        <w:rPr>
          <w:rFonts w:hint="eastAsia"/>
        </w:rPr>
        <w:t>（即使收入不并入公司报表）</w:t>
      </w:r>
      <w:r w:rsidRPr="00AD69A4">
        <w:t>，</w:t>
      </w:r>
      <w:r w:rsidRPr="001635FF">
        <w:rPr>
          <w:b/>
          <w:bCs/>
        </w:rPr>
        <w:t>直接或间接向客户或消费者出售的饮料数量</w:t>
      </w:r>
      <w:r w:rsidRPr="00AD69A4">
        <w:t>，统一折算成标准</w:t>
      </w:r>
      <w:r w:rsidR="00C72C9B">
        <w:rPr>
          <w:rFonts w:hint="eastAsia"/>
        </w:rPr>
        <w:t>单位</w:t>
      </w:r>
      <w:r w:rsidRPr="00AD69A4">
        <w:t>箱。</w:t>
      </w:r>
      <w:r w:rsidR="00A32C86" w:rsidRPr="00A32C86">
        <w:t>所以，</w:t>
      </w:r>
      <w:r w:rsidR="00A32C86" w:rsidRPr="00A32C86">
        <w:rPr>
          <w:b/>
          <w:bCs/>
        </w:rPr>
        <w:t>体系销量是衡量市场需求的指</w:t>
      </w:r>
      <w:r w:rsidR="00A32C86" w:rsidRPr="00F31ACF">
        <w:rPr>
          <w:b/>
          <w:bCs/>
        </w:rPr>
        <w:t>标</w:t>
      </w:r>
      <w:r w:rsidR="00A32C86" w:rsidRPr="00A32C86">
        <w:t>，但不宜把它称为严格的、全球统一的终端零售动销量。</w:t>
      </w:r>
    </w:p>
    <w:p w14:paraId="77848968" w14:textId="77777777" w:rsidR="00AF0535" w:rsidRDefault="00AF0535" w:rsidP="00AF0535">
      <w:r w:rsidRPr="00AF0535">
        <w:rPr>
          <w:b/>
          <w:bCs/>
        </w:rPr>
        <w:lastRenderedPageBreak/>
        <w:t>浓缩液销量统计的是公司向装瓶商或其他客户出售的浓缩液、糖浆、水源水及粉末／矿物质等，以及用于公司所售成品饮料的相关原料，统一折算为成品饮料的标准单位箱当量。</w:t>
      </w:r>
      <w:r w:rsidRPr="00AF0535">
        <w:t>它并非浓缩液本身的升数，也不完全等同于“浓缩液业务”这一收入分类。</w:t>
      </w:r>
      <w:r w:rsidRPr="00FA79D3">
        <w:t>例如，一批浓缩液可用于生产100标准单位箱饮料，其统计量体现的是这100箱成品饮料的当量，而不是浓缩液的物理体积。</w:t>
      </w:r>
    </w:p>
    <w:p w14:paraId="1B404789" w14:textId="5980892B" w:rsidR="0012369A" w:rsidRPr="0012369A" w:rsidRDefault="00AF0535" w:rsidP="0012369A">
      <w:pPr>
        <w:jc w:val="center"/>
        <w:rPr>
          <w:sz w:val="21"/>
          <w:szCs w:val="22"/>
        </w:rPr>
      </w:pPr>
      <w:r w:rsidRPr="00C72C9B">
        <w:rPr>
          <w:sz w:val="21"/>
          <w:szCs w:val="22"/>
        </w:rPr>
        <w:t>一标准单位箱＝24份8美制液体盎司饮料＝约5.68升</w:t>
      </w:r>
    </w:p>
    <w:p w14:paraId="3B24EC03" w14:textId="4A08F69B" w:rsidR="0012369A" w:rsidRPr="00B022AB" w:rsidRDefault="0012369A" w:rsidP="00BC0CB2">
      <w:r w:rsidRPr="00844CE2">
        <w:rPr>
          <w:b/>
          <w:bCs/>
        </w:rPr>
        <w:t>公司以体系销量和浓缩液销售量两种方式观察销量</w:t>
      </w:r>
      <w:r w:rsidRPr="0012369A">
        <w:t>：前者反映整个体系的销售，后者反映公司端的相关经营活动，两者需要结合分析。体系销量可以按这两类业务归属拆分，但</w:t>
      </w:r>
      <w:r w:rsidRPr="0082622E">
        <w:rPr>
          <w:b/>
          <w:bCs/>
        </w:rPr>
        <w:t>“浓缩液业务对应的体系销量”不等同于“浓缩液销售量”</w:t>
      </w:r>
      <w:r w:rsidRPr="0012369A">
        <w:t>，后者也涉及用于公司所售成品的相关投入品。因此，收入中的两类业务，不要求在销量分析中各对应一个独立、对称的总量指标。</w:t>
      </w:r>
    </w:p>
    <w:p w14:paraId="39453A87" w14:textId="58F49C81" w:rsidR="00E33C27" w:rsidRDefault="008701AE" w:rsidP="00BC0CB2">
      <w:r w:rsidRPr="008701AE">
        <w:rPr>
          <w:b/>
          <w:bCs/>
        </w:rPr>
        <w:t>两种销量增速</w:t>
      </w:r>
      <w:r w:rsidR="00237B89">
        <w:rPr>
          <w:rFonts w:hint="eastAsia"/>
          <w:b/>
          <w:bCs/>
        </w:rPr>
        <w:t>不</w:t>
      </w:r>
      <w:r w:rsidR="00B3361B">
        <w:rPr>
          <w:rFonts w:hint="eastAsia"/>
          <w:b/>
          <w:bCs/>
        </w:rPr>
        <w:t>必然</w:t>
      </w:r>
      <w:r w:rsidR="00237B89">
        <w:rPr>
          <w:rFonts w:hint="eastAsia"/>
          <w:b/>
          <w:bCs/>
        </w:rPr>
        <w:t>在</w:t>
      </w:r>
      <w:r w:rsidRPr="008701AE">
        <w:rPr>
          <w:b/>
          <w:bCs/>
        </w:rPr>
        <w:t>同一季度一致。</w:t>
      </w:r>
      <w:r w:rsidRPr="008701AE">
        <w:t>公司向装瓶商发货后，装瓶商还需安排生产、库存和销售；提前备货或调整采购时间，都可能造成公司端销量与体系成品销量的暂时差异。季节性、供货地点变化、提价时间、新品上市和产品组合变化，也会影响两项指标的关系。部分合资企业的成品销量计入体系销量，但并不向公司采购浓缩液，亦会产生统计范围差异。因此，不能把两个增速的差额直接等同于装瓶商库存变化。</w:t>
      </w:r>
    </w:p>
    <w:p w14:paraId="594D0458" w14:textId="4D4F8F01" w:rsidR="00331AFF" w:rsidRDefault="00331AFF" w:rsidP="00331AFF">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w:t>
      </w:r>
      <w:r>
        <w:fldChar w:fldCharType="end"/>
      </w:r>
      <w:r>
        <w:rPr>
          <w:rFonts w:hint="eastAsia"/>
        </w:rPr>
        <w:t>：浓缩液销量确认时点</w:t>
      </w:r>
    </w:p>
    <w:p w14:paraId="4A6EAB46" w14:textId="092A7DF5" w:rsidR="00D11848" w:rsidRPr="008701AE" w:rsidRDefault="00D11848" w:rsidP="00BC0CB2">
      <w:r w:rsidRPr="00D11848">
        <w:rPr>
          <w:noProof/>
        </w:rPr>
        <w:drawing>
          <wp:inline distT="0" distB="0" distL="0" distR="0" wp14:anchorId="3E2EC7B7" wp14:editId="09C48361">
            <wp:extent cx="5715000" cy="1036410"/>
            <wp:effectExtent l="0" t="0" r="0" b="5080"/>
            <wp:docPr id="585967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67262" name=""/>
                    <pic:cNvPicPr/>
                  </pic:nvPicPr>
                  <pic:blipFill>
                    <a:blip r:embed="rId14"/>
                    <a:stretch>
                      <a:fillRect/>
                    </a:stretch>
                  </pic:blipFill>
                  <pic:spPr>
                    <a:xfrm>
                      <a:off x="0" y="0"/>
                      <a:ext cx="5777779" cy="1047795"/>
                    </a:xfrm>
                    <a:prstGeom prst="rect">
                      <a:avLst/>
                    </a:prstGeom>
                  </pic:spPr>
                </pic:pic>
              </a:graphicData>
            </a:graphic>
          </wp:inline>
        </w:drawing>
      </w:r>
    </w:p>
    <w:p w14:paraId="58B58381" w14:textId="0059B1FE" w:rsidR="009B5D25" w:rsidRDefault="00F51F38" w:rsidP="00B220E1">
      <w:r w:rsidRPr="00F51F38">
        <w:rPr>
          <w:noProof/>
        </w:rPr>
        <w:lastRenderedPageBreak/>
        <w:drawing>
          <wp:inline distT="0" distB="0" distL="0" distR="0" wp14:anchorId="0C0E0C2F" wp14:editId="736BEF9A">
            <wp:extent cx="6645910" cy="8550910"/>
            <wp:effectExtent l="0" t="0" r="0" b="0"/>
            <wp:docPr id="153861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128" name=""/>
                    <pic:cNvPicPr/>
                  </pic:nvPicPr>
                  <pic:blipFill>
                    <a:blip r:embed="rId15"/>
                    <a:stretch>
                      <a:fillRect/>
                    </a:stretch>
                  </pic:blipFill>
                  <pic:spPr>
                    <a:xfrm>
                      <a:off x="0" y="0"/>
                      <a:ext cx="6645910" cy="8550910"/>
                    </a:xfrm>
                    <a:prstGeom prst="rect">
                      <a:avLst/>
                    </a:prstGeom>
                  </pic:spPr>
                </pic:pic>
              </a:graphicData>
            </a:graphic>
          </wp:inline>
        </w:drawing>
      </w:r>
    </w:p>
    <w:p w14:paraId="70001967" w14:textId="77777777" w:rsidR="00F51F38" w:rsidRDefault="00F51F38" w:rsidP="00B220E1"/>
    <w:p w14:paraId="7BC4564D" w14:textId="41E712C3" w:rsidR="003518DD" w:rsidRDefault="009B5D25" w:rsidP="005B1D8C">
      <w:pPr>
        <w:pStyle w:val="4"/>
      </w:pPr>
      <w:r w:rsidRPr="009B5D25">
        <w:rPr>
          <w:rFonts w:hint="eastAsia"/>
        </w:rPr>
        <w:lastRenderedPageBreak/>
        <w:t>体系销量</w:t>
      </w:r>
    </w:p>
    <w:p w14:paraId="641F9297" w14:textId="27F1760D" w:rsidR="00805B24" w:rsidRPr="00805B24" w:rsidRDefault="00805B24" w:rsidP="00805B24">
      <w:pPr>
        <w:pStyle w:val="a9"/>
        <w:numPr>
          <w:ilvl w:val="0"/>
          <w:numId w:val="8"/>
        </w:numPr>
        <w:rPr>
          <w:b/>
          <w:bCs/>
        </w:rPr>
      </w:pPr>
      <w:r w:rsidRPr="00805B24">
        <w:rPr>
          <w:rFonts w:hint="eastAsia"/>
          <w:b/>
          <w:bCs/>
        </w:rPr>
        <w:t>结论</w:t>
      </w:r>
    </w:p>
    <w:p w14:paraId="530B6C64" w14:textId="77777777" w:rsidR="00805B24" w:rsidRDefault="00805B24" w:rsidP="00805B24">
      <w:r w:rsidRPr="00D84E7A">
        <w:rPr>
          <w:b/>
        </w:rPr>
        <w:t>可口可乐的体系销量长期保持温和增长，销售规模的扩张主要发生在国际市场，碳酸软饮仍占全球销量约七成。</w:t>
      </w:r>
      <w:r w:rsidRPr="009508B5">
        <w:t>FY2016—FY2025，公开披露的销量由293亿标准单位箱增至338亿箱，按绝对量计算的年复合增速约为1.6%；疫情后的恢复性增长逐步减弱，FY2025销量转为持平。整体平稳之下，地区和产品表现存在明显差异：EMEA保持增长，北美有所下降，拉美和亚太持平；Zero Sugar持续较快增长，但尚未带动整个可口可乐商标系列实现量增。2026年上半年，四个地理分部均恢复增长，多数主要品类同步改善，全球销量增速由第一季度的3%提高至第二季度的5%，显示增长覆盖面正在扩大。不过，近期表现也受到低基数、天气和赛事活动等因素影响，尚不足以认定长期销量增长中枢已经提高。</w:t>
      </w:r>
    </w:p>
    <w:p w14:paraId="167CF68E" w14:textId="77777777" w:rsidR="00805B24" w:rsidRDefault="00805B24" w:rsidP="00805B24"/>
    <w:p w14:paraId="3AB66A70" w14:textId="76782955" w:rsidR="00D07E77" w:rsidRPr="00D07E77" w:rsidRDefault="00D07E77" w:rsidP="00D07E77">
      <w:pPr>
        <w:pStyle w:val="a9"/>
        <w:numPr>
          <w:ilvl w:val="0"/>
          <w:numId w:val="7"/>
        </w:numPr>
        <w:rPr>
          <w:b/>
          <w:bCs/>
        </w:rPr>
      </w:pPr>
      <w:r w:rsidRPr="00D07E77">
        <w:rPr>
          <w:rFonts w:hint="eastAsia"/>
          <w:b/>
          <w:bCs/>
        </w:rPr>
        <w:t>总体</w:t>
      </w:r>
    </w:p>
    <w:p w14:paraId="4D98CC4A" w14:textId="3FB3B2F8" w:rsidR="00353DE8" w:rsidRDefault="00353DE8" w:rsidP="00353DE8">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w:t>
      </w:r>
      <w:r>
        <w:fldChar w:fldCharType="end"/>
      </w:r>
      <w:r>
        <w:rPr>
          <w:rFonts w:hint="eastAsia"/>
        </w:rPr>
        <w:t>：全球规模与结构</w:t>
      </w:r>
    </w:p>
    <w:p w14:paraId="61EE5A37" w14:textId="42A9C121" w:rsidR="003518DD" w:rsidRDefault="00353DE8" w:rsidP="003518DD">
      <w:r w:rsidRPr="00353DE8">
        <w:rPr>
          <w:noProof/>
        </w:rPr>
        <w:drawing>
          <wp:inline distT="0" distB="0" distL="0" distR="0" wp14:anchorId="0562F425" wp14:editId="45558817">
            <wp:extent cx="6645910" cy="3338195"/>
            <wp:effectExtent l="0" t="0" r="0" b="1905"/>
            <wp:docPr id="76140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704" name=""/>
                    <pic:cNvPicPr/>
                  </pic:nvPicPr>
                  <pic:blipFill>
                    <a:blip r:embed="rId16"/>
                    <a:stretch>
                      <a:fillRect/>
                    </a:stretch>
                  </pic:blipFill>
                  <pic:spPr>
                    <a:xfrm>
                      <a:off x="0" y="0"/>
                      <a:ext cx="6645910" cy="3338195"/>
                    </a:xfrm>
                    <a:prstGeom prst="rect">
                      <a:avLst/>
                    </a:prstGeom>
                  </pic:spPr>
                </pic:pic>
              </a:graphicData>
            </a:graphic>
          </wp:inline>
        </w:drawing>
      </w:r>
    </w:p>
    <w:p w14:paraId="64CE81F0" w14:textId="77777777" w:rsidR="00B41E54" w:rsidRDefault="00B41E54" w:rsidP="00B41E54">
      <w:r>
        <w:t>FY2016—FY2025，公开披露的体系销量由293亿箱增加至338亿箱，累计增加约15.4%，按两端绝对值计算的年复合增速约为1.6%。期间存在统计范围变化，因此，这个增速用于描述公开销售规模的扩张，不宜作为严格同口径的内生增速。</w:t>
      </w:r>
    </w:p>
    <w:p w14:paraId="2A308EE5" w14:textId="615BB7FE" w:rsidR="00353DE8" w:rsidRDefault="00B41E54" w:rsidP="00B41E54">
      <w:r>
        <w:t>增长过程可以分为三个阶段。FY2016—FY2019，年度销量增速处于0%—2%，疫情前已经呈现低速增长特征。FY2020下降6%，随后FY2021和FY2022增长8%和5%，包含消费场景恢复带来的反弹。FY2023—FY2025，增长依次降至2%、1%和0%，疫情后的恢复性增长逐步减弱。</w:t>
      </w:r>
    </w:p>
    <w:p w14:paraId="668DE151" w14:textId="3E2A9A16" w:rsidR="00353DE8" w:rsidRDefault="00B41E54" w:rsidP="003518DD">
      <w:r w:rsidRPr="00B41E54">
        <w:t>产品结构显示，可口可乐虽然拓展了水、运动饮料、果汁、乳制品、茶及咖啡等业务，碳酸软饮的销量占比仍连续保持在约69%。公司销售规模有所扩大，但按这一粗分类观察，碳酸软饮以外的品类尚未显著提高整体销量占比。</w:t>
      </w:r>
    </w:p>
    <w:p w14:paraId="024B4702" w14:textId="176A8C84" w:rsidR="00F95043" w:rsidRDefault="00F95043" w:rsidP="00F95043">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w:t>
      </w:r>
      <w:r>
        <w:fldChar w:fldCharType="end"/>
      </w:r>
      <w:r>
        <w:rPr>
          <w:rFonts w:hint="eastAsia"/>
        </w:rPr>
        <w:t>：估算绝对销量</w:t>
      </w:r>
    </w:p>
    <w:p w14:paraId="3B4C0758" w14:textId="24624399" w:rsidR="003518DD" w:rsidRDefault="00F95043" w:rsidP="003518DD">
      <w:r w:rsidRPr="00F95043">
        <w:rPr>
          <w:noProof/>
        </w:rPr>
        <w:drawing>
          <wp:inline distT="0" distB="0" distL="0" distR="0" wp14:anchorId="68C80A90" wp14:editId="7C843851">
            <wp:extent cx="6645910" cy="1349375"/>
            <wp:effectExtent l="0" t="0" r="0" b="0"/>
            <wp:docPr id="148387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4027" name=""/>
                    <pic:cNvPicPr/>
                  </pic:nvPicPr>
                  <pic:blipFill>
                    <a:blip r:embed="rId17"/>
                    <a:stretch>
                      <a:fillRect/>
                    </a:stretch>
                  </pic:blipFill>
                  <pic:spPr>
                    <a:xfrm>
                      <a:off x="0" y="0"/>
                      <a:ext cx="6645910" cy="1349375"/>
                    </a:xfrm>
                    <a:prstGeom prst="rect">
                      <a:avLst/>
                    </a:prstGeom>
                  </pic:spPr>
                </pic:pic>
              </a:graphicData>
            </a:graphic>
          </wp:inline>
        </w:drawing>
      </w:r>
    </w:p>
    <w:p w14:paraId="4D1685D5" w14:textId="2CFB1884" w:rsidR="00DD7ED1" w:rsidRPr="00DD7ED1" w:rsidRDefault="00DD7ED1" w:rsidP="00DD7ED1">
      <w:pPr>
        <w:rPr>
          <w:sz w:val="20"/>
          <w:szCs w:val="21"/>
        </w:rPr>
      </w:pPr>
      <w:r w:rsidRPr="00DD7ED1">
        <w:rPr>
          <w:rFonts w:hint="eastAsia"/>
          <w:sz w:val="20"/>
          <w:szCs w:val="21"/>
        </w:rPr>
        <w:t>根据Item 1披露的占比文本叙述以及正式披露的销量进行估算</w:t>
      </w:r>
    </w:p>
    <w:p w14:paraId="4B2986C3" w14:textId="54AEB304" w:rsidR="00DD7ED1" w:rsidRDefault="00DD7ED1" w:rsidP="00DD7ED1">
      <w:r>
        <w:t>FY2025，碳酸软饮约233.2亿箱，其中可口可乐商标系列约158.9亿箱，其他碳酸软饮商标约74.4亿箱。即使公司拥有众多品牌，可口可乐商标系列仍是最大的单一品牌系列。</w:t>
      </w:r>
    </w:p>
    <w:p w14:paraId="5C16F6BA" w14:textId="2F6A4AEA" w:rsidR="00DD7ED1" w:rsidRDefault="00DD7ED1" w:rsidP="00DD7ED1">
      <w:r w:rsidRPr="00D84E7A">
        <w:rPr>
          <w:b/>
          <w:bCs/>
        </w:rPr>
        <w:t>地域上，</w:t>
      </w:r>
      <w:r w:rsidR="000045AF" w:rsidRPr="00D84E7A">
        <w:rPr>
          <w:b/>
          <w:bCs/>
        </w:rPr>
        <w:t>长期销售规模的扩张主要发生在国际市场</w:t>
      </w:r>
      <w:r w:rsidR="000045AF" w:rsidRPr="00D84E7A">
        <w:rPr>
          <w:rFonts w:hint="eastAsia"/>
          <w:b/>
          <w:bCs/>
        </w:rPr>
        <w:t>。</w:t>
      </w:r>
      <w:r>
        <w:t>美国销量仍接近FY2016的规模，国际销量由约237.3亿箱升至283.9亿箱。这里的美国占比是美国在可口可乐体系内部的销量权重，不是可口可乐在美国饮料市场的竞争份额。</w:t>
      </w:r>
    </w:p>
    <w:p w14:paraId="1A84F909" w14:textId="78043694" w:rsidR="003518DD" w:rsidRDefault="00DD7ED1" w:rsidP="00DD7ED1">
      <w:r>
        <w:t>FY2025 10-K还披露，墨西哥、中国、巴西和印度是美国以外销量最大的四个国家，合计占全球体系销量33%。这说明，国际增长不能只看“国际市场”这一整体，几个大型市场的表现对全球销量十分重要。</w:t>
      </w:r>
    </w:p>
    <w:p w14:paraId="593FE688" w14:textId="77777777" w:rsidR="001B4CB3" w:rsidRDefault="001B4CB3" w:rsidP="00DD7ED1"/>
    <w:p w14:paraId="7B9F29B7" w14:textId="77777777" w:rsidR="001B4CB3" w:rsidRPr="00B80F5A" w:rsidRDefault="001B4CB3" w:rsidP="001B4CB3">
      <w:pPr>
        <w:pStyle w:val="a9"/>
        <w:numPr>
          <w:ilvl w:val="0"/>
          <w:numId w:val="20"/>
        </w:numPr>
        <w:rPr>
          <w:b/>
          <w:bCs/>
        </w:rPr>
      </w:pPr>
      <w:r w:rsidRPr="00B80F5A">
        <w:rPr>
          <w:b/>
          <w:bCs/>
        </w:rPr>
        <w:t>按业务类别划分的体系销量结构</w:t>
      </w:r>
    </w:p>
    <w:p w14:paraId="642E94FF" w14:textId="60A345A9" w:rsidR="001B4CB3" w:rsidRDefault="001B4CB3" w:rsidP="001B4CB3">
      <w:r w:rsidRPr="001B4CB3">
        <w:t>除产品和地域分类外，体系销量还可以按业务归属分为浓缩液业务对应的销量与成品业务对应的销量。两者是同一体系总量下的分类，用于观察不同经营模式在体系中的权重。其中，成品业务对应的销量包括合并装瓶业务及其他成品业务，但不能用来替代全部体系销量，也不能与公司披露的浓缩液销售量直接相加。</w:t>
      </w:r>
    </w:p>
    <w:p w14:paraId="1DE45D50" w14:textId="700B7DE8" w:rsidR="001B4CB3" w:rsidRDefault="001B4CB3" w:rsidP="001B4CB3">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w:t>
      </w:r>
      <w:r>
        <w:fldChar w:fldCharType="end"/>
      </w:r>
      <w:r>
        <w:rPr>
          <w:rFonts w:hint="eastAsia"/>
        </w:rPr>
        <w:t>：</w:t>
      </w:r>
      <w:r w:rsidR="005A6AFB" w:rsidRPr="005A6AFB">
        <w:t>全球体系销量按业务类别划分的结构</w:t>
      </w:r>
    </w:p>
    <w:p w14:paraId="5CDC756A" w14:textId="77777777" w:rsidR="001B4CB3" w:rsidRDefault="001B4CB3" w:rsidP="001B4CB3">
      <w:r w:rsidRPr="00E64969">
        <w:rPr>
          <w:noProof/>
        </w:rPr>
        <w:drawing>
          <wp:inline distT="0" distB="0" distL="0" distR="0" wp14:anchorId="1EEBC912" wp14:editId="568D71E8">
            <wp:extent cx="5621867" cy="3248178"/>
            <wp:effectExtent l="0" t="0" r="4445" b="3175"/>
            <wp:docPr id="1884526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26916" name=""/>
                    <pic:cNvPicPr/>
                  </pic:nvPicPr>
                  <pic:blipFill>
                    <a:blip r:embed="rId18"/>
                    <a:stretch>
                      <a:fillRect/>
                    </a:stretch>
                  </pic:blipFill>
                  <pic:spPr>
                    <a:xfrm>
                      <a:off x="0" y="0"/>
                      <a:ext cx="5635302" cy="3255940"/>
                    </a:xfrm>
                    <a:prstGeom prst="rect">
                      <a:avLst/>
                    </a:prstGeom>
                  </pic:spPr>
                </pic:pic>
              </a:graphicData>
            </a:graphic>
          </wp:inline>
        </w:drawing>
      </w:r>
    </w:p>
    <w:p w14:paraId="10915BEC" w14:textId="77777777" w:rsidR="001B4CB3" w:rsidRDefault="001B4CB3" w:rsidP="001B4CB3">
      <w:r w:rsidRPr="008C03E0">
        <w:t>较早阶段，成品业务对应全球约四分之一的体系销量；随着美国、中国等地装瓶业务再特许经营，其占比明显下降。FY2019—FY2023，占比在17%—18%之间波动，说明这一时期成品业务仍是体系的重要组成部分，</w:t>
      </w:r>
      <w:r w:rsidRPr="008C03E0">
        <w:lastRenderedPageBreak/>
        <w:t>并未随着美国传统装瓶资产退出而消失。</w:t>
      </w:r>
    </w:p>
    <w:p w14:paraId="54C83024" w14:textId="341BA38E" w:rsidR="001B4CB3" w:rsidRDefault="001B4CB3" w:rsidP="001B4CB3">
      <w:r w:rsidRPr="00AB5C33">
        <w:t>FY2024，成品占比由17%降至15%，同期公司将菲律宾、孟加拉国及印度部分地区的装瓶业务转交独立装瓶商。相关饮料仍可继续销售并计入体系销量，但不再全部通过KO合并的成品业务经营。</w:t>
      </w:r>
    </w:p>
    <w:p w14:paraId="4111EE78" w14:textId="77777777" w:rsidR="001B4CB3" w:rsidRPr="001B4CB3" w:rsidRDefault="001B4CB3" w:rsidP="00DD7ED1"/>
    <w:p w14:paraId="6F93292A" w14:textId="1587BE60" w:rsidR="001B4CB3" w:rsidRPr="006B59D7" w:rsidRDefault="006B59D7" w:rsidP="006B59D7">
      <w:pPr>
        <w:pStyle w:val="a9"/>
        <w:numPr>
          <w:ilvl w:val="0"/>
          <w:numId w:val="20"/>
        </w:numPr>
        <w:rPr>
          <w:b/>
          <w:bCs/>
        </w:rPr>
      </w:pPr>
      <w:r w:rsidRPr="006B59D7">
        <w:rPr>
          <w:rFonts w:hint="eastAsia"/>
          <w:b/>
          <w:bCs/>
        </w:rPr>
        <w:t>分</w:t>
      </w:r>
      <w:r w:rsidR="000A478D">
        <w:rPr>
          <w:rFonts w:hint="eastAsia"/>
          <w:b/>
          <w:bCs/>
        </w:rPr>
        <w:t>部</w:t>
      </w:r>
    </w:p>
    <w:p w14:paraId="709F2CF3" w14:textId="0E3E4066" w:rsidR="00923E0F" w:rsidRDefault="00923E0F" w:rsidP="00923E0F">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w:t>
      </w:r>
      <w:r>
        <w:fldChar w:fldCharType="end"/>
      </w:r>
      <w:r>
        <w:rPr>
          <w:rFonts w:hint="eastAsia"/>
        </w:rPr>
        <w:t>：体系销售量分</w:t>
      </w:r>
      <w:r w:rsidR="000A478D">
        <w:rPr>
          <w:rFonts w:hint="eastAsia"/>
        </w:rPr>
        <w:t>部</w:t>
      </w:r>
      <w:r>
        <w:rPr>
          <w:rFonts w:hint="eastAsia"/>
        </w:rPr>
        <w:t>年度增长</w:t>
      </w:r>
    </w:p>
    <w:p w14:paraId="4B64E141" w14:textId="16401587" w:rsidR="003518DD" w:rsidRDefault="00923E0F" w:rsidP="003518DD">
      <w:r w:rsidRPr="00923E0F">
        <w:rPr>
          <w:noProof/>
        </w:rPr>
        <w:drawing>
          <wp:inline distT="0" distB="0" distL="0" distR="0" wp14:anchorId="3386A540" wp14:editId="077680E1">
            <wp:extent cx="5147733" cy="3408541"/>
            <wp:effectExtent l="0" t="0" r="0" b="0"/>
            <wp:docPr id="1343861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1934" name=""/>
                    <pic:cNvPicPr/>
                  </pic:nvPicPr>
                  <pic:blipFill>
                    <a:blip r:embed="rId19"/>
                    <a:stretch>
                      <a:fillRect/>
                    </a:stretch>
                  </pic:blipFill>
                  <pic:spPr>
                    <a:xfrm>
                      <a:off x="0" y="0"/>
                      <a:ext cx="5177719" cy="3428396"/>
                    </a:xfrm>
                    <a:prstGeom prst="rect">
                      <a:avLst/>
                    </a:prstGeom>
                  </pic:spPr>
                </pic:pic>
              </a:graphicData>
            </a:graphic>
          </wp:inline>
        </w:drawing>
      </w:r>
    </w:p>
    <w:p w14:paraId="06B42656" w14:textId="132D20D6" w:rsidR="00D67B45" w:rsidRPr="00D67B45" w:rsidRDefault="00D67B45" w:rsidP="00D67B45">
      <w:pPr>
        <w:rPr>
          <w:b/>
          <w:bCs/>
        </w:rPr>
      </w:pPr>
      <w:r w:rsidRPr="00D67B45">
        <w:rPr>
          <w:b/>
          <w:bCs/>
        </w:rPr>
        <w:t>EMEA：2025年恢复增长，但欧洲本身仍然偏弱</w:t>
      </w:r>
    </w:p>
    <w:p w14:paraId="482F53EF" w14:textId="77777777" w:rsidR="00D67B45" w:rsidRDefault="00D67B45" w:rsidP="00D67B45">
      <w:r>
        <w:t>EMEA包括欧洲、中东和非洲。FY2023销量下降2%，FY2024持平，FY2025恢复增长3%。</w:t>
      </w:r>
      <w:r w:rsidRPr="0081037E">
        <w:rPr>
          <w:b/>
          <w:bCs/>
        </w:rPr>
        <w:t>这一改善并不意味着欧洲全面恢复：FY2025，欧亚及中东增长7%，非洲增长3%，欧洲下降1%。</w:t>
      </w:r>
    </w:p>
    <w:p w14:paraId="5AB3D57C" w14:textId="77777777" w:rsidR="00D67B45" w:rsidRDefault="00D67B45" w:rsidP="00D67B45">
      <w:r>
        <w:t>产品方面，FY2025可口可乐商标系列增长2%，风味碳酸软饮增长3%，水、运动饮料、咖啡和茶增长2%，果汁、增值乳制品和植物基饮料下降4%。区域增长由多个产品支持，但</w:t>
      </w:r>
      <w:r w:rsidRPr="00830127">
        <w:rPr>
          <w:b/>
          <w:bCs/>
        </w:rPr>
        <w:t>部分品类和欧洲市场仍构成拖累</w:t>
      </w:r>
      <w:r>
        <w:t>。</w:t>
      </w:r>
    </w:p>
    <w:p w14:paraId="343D2D7E" w14:textId="77777777" w:rsidR="00193921" w:rsidRDefault="00193921" w:rsidP="00D67B45"/>
    <w:p w14:paraId="06ABC5C7" w14:textId="609FA64F" w:rsidR="00D67B45" w:rsidRPr="00193921" w:rsidRDefault="00D67B45" w:rsidP="00D67B45">
      <w:pPr>
        <w:rPr>
          <w:b/>
          <w:bCs/>
        </w:rPr>
      </w:pPr>
      <w:r w:rsidRPr="00193921">
        <w:rPr>
          <w:b/>
          <w:bCs/>
        </w:rPr>
        <w:t>拉美：2021—2024年的较强增长，在2025年明显放缓</w:t>
      </w:r>
    </w:p>
    <w:p w14:paraId="06CF1E44" w14:textId="77777777" w:rsidR="00D67B45" w:rsidRDefault="00D67B45" w:rsidP="00D67B45">
      <w:r>
        <w:t>拉美FY2021—FY2024分别增长6%、6%、5%和3%，连续保持较好的销量表现，FY2025则转为持平。</w:t>
      </w:r>
    </w:p>
    <w:p w14:paraId="52C8C84E" w14:textId="1630E681" w:rsidR="00D67B45" w:rsidRDefault="00D67B45" w:rsidP="00D67B45">
      <w:r w:rsidRPr="001206F0">
        <w:rPr>
          <w:b/>
          <w:bCs/>
        </w:rPr>
        <w:t>重点国家的</w:t>
      </w:r>
      <w:r w:rsidR="006E0FE4">
        <w:rPr>
          <w:rFonts w:hint="eastAsia"/>
          <w:b/>
          <w:bCs/>
        </w:rPr>
        <w:t>增速</w:t>
      </w:r>
      <w:r w:rsidRPr="001206F0">
        <w:rPr>
          <w:b/>
          <w:bCs/>
        </w:rPr>
        <w:t>放缓</w:t>
      </w:r>
      <w:r>
        <w:t>。巴西由FY2024增长8%降至FY2025增长2%；墨西哥由增长2%转为下降4%；阿根廷由下降12%恢复至增长6%。因此，区域持平反映的是不同国家增长与下降的抵消，不能理解为整个区域需求都没有变化。</w:t>
      </w:r>
    </w:p>
    <w:p w14:paraId="7BB93B9D" w14:textId="77777777" w:rsidR="00D67B45" w:rsidRDefault="00D67B45" w:rsidP="00D67B45">
      <w:r>
        <w:t>产品方面，FY2025可口可乐商标系列下降1%，风味碳酸软饮下降2%；水、运动饮料、咖啡和茶，以及果汁、增值乳制品和植物基饮料均增长1%。核心碳酸产品的偏弱表现限制了区域量增。</w:t>
      </w:r>
    </w:p>
    <w:p w14:paraId="02695AC9" w14:textId="77777777" w:rsidR="001206F0" w:rsidRDefault="001206F0" w:rsidP="00D67B45"/>
    <w:p w14:paraId="0C30E9BA" w14:textId="121C4E6F" w:rsidR="00D67B45" w:rsidRDefault="00D67B45" w:rsidP="00D67B45">
      <w:r w:rsidRPr="00275881">
        <w:rPr>
          <w:b/>
          <w:bCs/>
        </w:rPr>
        <w:lastRenderedPageBreak/>
        <w:t>北美：长期量增有限，2025年主要产品再次出现小幅下降</w:t>
      </w:r>
    </w:p>
    <w:p w14:paraId="4B83496E" w14:textId="77777777" w:rsidR="00D67B45" w:rsidRDefault="00D67B45" w:rsidP="00D67B45">
      <w:r>
        <w:t>FY2017—FY2019北美销量连续持平。FY2021和FY2022恢复增长后，FY2023下降1%，FY2024持平，FY2025再次下降1%。从这组数据看，北美长期缺少持续的总量扩张。</w:t>
      </w:r>
    </w:p>
    <w:p w14:paraId="06A4D808" w14:textId="4C44051B" w:rsidR="00D67B45" w:rsidRDefault="00D67B45" w:rsidP="00D67B45">
      <w:r>
        <w:t>FY2025，可口可乐商标系列下降1%，风味碳酸软饮下降1%，果汁、增值乳制品和植物基饮料下降2%，水、运动饮料、咖啡和茶合计持平。</w:t>
      </w:r>
    </w:p>
    <w:p w14:paraId="7D0060ED" w14:textId="77777777" w:rsidR="00D67B45" w:rsidRDefault="00D67B45" w:rsidP="00D67B45">
      <w:r>
        <w:t>但北美也不是所有产品都在下降。Zero Sugar等产品仍保持增长，</w:t>
      </w:r>
      <w:proofErr w:type="spellStart"/>
      <w:r>
        <w:t>fairlife</w:t>
      </w:r>
      <w:proofErr w:type="spellEnd"/>
      <w:r>
        <w:t>等品牌亦有经营亮点。整体市场的成熟与内部产品机会可以同时存在，后者能否持续带动总量增长，需要观察其规模和其他产品的变化。</w:t>
      </w:r>
    </w:p>
    <w:p w14:paraId="48AFF556" w14:textId="77777777" w:rsidR="00826E5A" w:rsidRDefault="00826E5A" w:rsidP="00D67B45"/>
    <w:p w14:paraId="129362E1" w14:textId="2163B8B0" w:rsidR="00D67B45" w:rsidRPr="00826E5A" w:rsidRDefault="00D67B45" w:rsidP="00D67B45">
      <w:pPr>
        <w:rPr>
          <w:b/>
          <w:bCs/>
        </w:rPr>
      </w:pPr>
      <w:r w:rsidRPr="00826E5A">
        <w:rPr>
          <w:b/>
          <w:bCs/>
        </w:rPr>
        <w:t>亚太：历史上有较快增长阶段，近两年的增长明显分化</w:t>
      </w:r>
    </w:p>
    <w:p w14:paraId="3B45121A" w14:textId="77777777" w:rsidR="00D67B45" w:rsidRDefault="00D67B45" w:rsidP="00D67B45">
      <w:r>
        <w:t>疫情前，亚太FY2018和FY2019分别增长4%和5%，高于全球平均。FY2020下降9%，FY2021和FY2022分别恢复增长10%和6%，随后FY2023—FY2025增速降至3%、1%和0%。</w:t>
      </w:r>
    </w:p>
    <w:p w14:paraId="63D44A68" w14:textId="77777777" w:rsidR="00D67B45" w:rsidRDefault="00D67B45" w:rsidP="00D67B45">
      <w:r>
        <w:t>地区内部变化较大。FY2024，大中华及蒙古下降5%，印度及西南亚增长7%，东盟及南太平洋、日本及韩国均增长4%。FY2025，大中华及蒙古恢复增长1%，但东盟及南太平洋下降3%，印度及西南亚、日本及韩国持平。</w:t>
      </w:r>
    </w:p>
    <w:p w14:paraId="62376540" w14:textId="77777777" w:rsidR="00D67B45" w:rsidRDefault="00D67B45" w:rsidP="00D67B45">
      <w:r>
        <w:t>产品方面，FY2025可口可乐商标系列增长1%，水、运动饮料、咖啡和茶增长3%；风味碳酸软饮下降3%，果汁、增值乳制品和植物基饮料下降6%。亚太持平，实际包含国家和产品两个维度的抵消。</w:t>
      </w:r>
    </w:p>
    <w:p w14:paraId="3952DA41" w14:textId="77777777" w:rsidR="00497886" w:rsidRDefault="00497886" w:rsidP="003518DD"/>
    <w:p w14:paraId="6D7DEF3D" w14:textId="123E27EB" w:rsidR="004C0B74" w:rsidRPr="00556BDE" w:rsidRDefault="00556BDE" w:rsidP="00556BDE">
      <w:pPr>
        <w:pStyle w:val="a9"/>
        <w:numPr>
          <w:ilvl w:val="0"/>
          <w:numId w:val="16"/>
        </w:numPr>
        <w:rPr>
          <w:b/>
          <w:bCs/>
        </w:rPr>
      </w:pPr>
      <w:r w:rsidRPr="00556BDE">
        <w:rPr>
          <w:b/>
          <w:bCs/>
        </w:rPr>
        <w:t>装瓶投资与Global Ventures</w:t>
      </w:r>
    </w:p>
    <w:p w14:paraId="1B85C90E" w14:textId="34B18DF7" w:rsidR="001338F1" w:rsidRDefault="001338F1" w:rsidP="001338F1">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7</w:t>
      </w:r>
      <w:r>
        <w:fldChar w:fldCharType="end"/>
      </w:r>
      <w:r>
        <w:rPr>
          <w:rFonts w:hint="eastAsia"/>
        </w:rPr>
        <w:t>：装瓶投资与</w:t>
      </w:r>
      <w:r>
        <w:rPr>
          <w:rFonts w:hint="eastAsia"/>
        </w:rPr>
        <w:t>Global Ventures</w:t>
      </w:r>
      <w:r>
        <w:rPr>
          <w:rFonts w:hint="eastAsia"/>
        </w:rPr>
        <w:t>历年增长</w:t>
      </w:r>
    </w:p>
    <w:p w14:paraId="1D973184" w14:textId="3350709F" w:rsidR="00497886" w:rsidRDefault="001338F1" w:rsidP="003518DD">
      <w:r w:rsidRPr="001338F1">
        <w:rPr>
          <w:noProof/>
        </w:rPr>
        <w:drawing>
          <wp:inline distT="0" distB="0" distL="0" distR="0" wp14:anchorId="2FFD48C6" wp14:editId="06837100">
            <wp:extent cx="5648987" cy="3293533"/>
            <wp:effectExtent l="0" t="0" r="2540" b="0"/>
            <wp:docPr id="1498553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3876" name=""/>
                    <pic:cNvPicPr/>
                  </pic:nvPicPr>
                  <pic:blipFill>
                    <a:blip r:embed="rId20"/>
                    <a:stretch>
                      <a:fillRect/>
                    </a:stretch>
                  </pic:blipFill>
                  <pic:spPr>
                    <a:xfrm>
                      <a:off x="0" y="0"/>
                      <a:ext cx="5668704" cy="3305028"/>
                    </a:xfrm>
                    <a:prstGeom prst="rect">
                      <a:avLst/>
                    </a:prstGeom>
                  </pic:spPr>
                </pic:pic>
              </a:graphicData>
            </a:graphic>
          </wp:inline>
        </w:drawing>
      </w:r>
    </w:p>
    <w:p w14:paraId="6738AD91" w14:textId="0BF7936D" w:rsidR="006D1F7C" w:rsidRPr="006D1F7C" w:rsidRDefault="00DE087B" w:rsidP="006D1F7C">
      <w:pPr>
        <w:ind w:left="420"/>
        <w:rPr>
          <w:sz w:val="20"/>
          <w:szCs w:val="21"/>
        </w:rPr>
      </w:pPr>
      <w:r w:rsidRPr="00DE087B">
        <w:rPr>
          <w:sz w:val="20"/>
          <w:szCs w:val="21"/>
        </w:rPr>
        <w:t>装瓶投资分部只统计公司合并范围内装瓶业务的销量。相关饮料也会进入地理分部的体系统计，因此，装瓶投资分部不能作为一个独立地域与四个地理分部相加。</w:t>
      </w:r>
      <w:r w:rsidR="00D30261" w:rsidRPr="00383980">
        <w:rPr>
          <w:b/>
          <w:bCs/>
          <w:sz w:val="20"/>
          <w:szCs w:val="21"/>
        </w:rPr>
        <w:t>装瓶投资分部同时也是观察成品业务中合并装瓶部分的窗口</w:t>
      </w:r>
      <w:r w:rsidR="00D30261" w:rsidRPr="00D30261">
        <w:rPr>
          <w:sz w:val="20"/>
          <w:szCs w:val="21"/>
        </w:rPr>
        <w:t>，但它不代表包括非装瓶业务在内的全部成品业务。因此，该分部的销量变化，可以帮助识别装瓶资产出售及保留业务的</w:t>
      </w:r>
      <w:r w:rsidR="00D30261" w:rsidRPr="00D30261">
        <w:rPr>
          <w:sz w:val="20"/>
          <w:szCs w:val="21"/>
        </w:rPr>
        <w:lastRenderedPageBreak/>
        <w:t>经营表现，不能直接作为全部成品业务的销量增速。</w:t>
      </w:r>
    </w:p>
    <w:p w14:paraId="24589BB4" w14:textId="096AC08D" w:rsidR="00DE087B" w:rsidRDefault="00DE087B" w:rsidP="00DE087B">
      <w:r>
        <w:t>该分部的大幅变动，反映公司</w:t>
      </w:r>
      <w:r w:rsidR="00CF4D1B">
        <w:t>经常</w:t>
      </w:r>
      <w:r>
        <w:t>出售装瓶业务、改变合并范围。FY2017下降41%，主要涉及北美和中国装瓶业务的再特许经营。FY2024下降23%，剔除结构变化后实际增长5%；FY2025下降8%，剔除结构变化后持平。后两年涉及菲律宾、孟加拉国及印度部分地区的装瓶业务调整。</w:t>
      </w:r>
    </w:p>
    <w:p w14:paraId="765A0B26" w14:textId="6E469720" w:rsidR="00DE087B" w:rsidRDefault="00DE087B" w:rsidP="00DE087B">
      <w:r>
        <w:t>由此可见，“公司合并的装瓶业务销量减少”与“可口可乐体系在当地卖出的饮料减少”是不同问题。在独立装瓶商接手后，相关可口可乐饮料仍可能继续销售，并计入体系销量。</w:t>
      </w:r>
    </w:p>
    <w:p w14:paraId="776AB670" w14:textId="28661FD7" w:rsidR="00DE087B" w:rsidRDefault="00DE087B" w:rsidP="00DE087B">
      <w:r>
        <w:t>Global Ventures</w:t>
      </w:r>
      <w:r w:rsidR="0055707D">
        <w:rPr>
          <w:rFonts w:hint="eastAsia"/>
        </w:rPr>
        <w:t>的</w:t>
      </w:r>
      <w:r>
        <w:t>历史范围包括Costa、innocent、</w:t>
      </w:r>
      <w:proofErr w:type="spellStart"/>
      <w:r>
        <w:t>do</w:t>
      </w:r>
      <w:r>
        <w:rPr>
          <w:rFonts w:ascii="Cambria" w:hAnsi="Cambria" w:cs="Cambria"/>
        </w:rPr>
        <w:t>ğ</w:t>
      </w:r>
      <w:r>
        <w:t>adan</w:t>
      </w:r>
      <w:proofErr w:type="spellEnd"/>
      <w:r>
        <w:t>及Monster相关业务。FY2024销量增长2%，公司披露增长主要由能量饮料支持，水、运动饮料、咖啡和茶则下降6%。因此，分部整体增长不能直接代表Costa增长。</w:t>
      </w:r>
    </w:p>
    <w:p w14:paraId="60F7B3B1" w14:textId="2059FCF2" w:rsidR="00E12DAD" w:rsidRDefault="00E12DAD" w:rsidP="00DE087B">
      <w:r w:rsidRPr="00E12DAD">
        <w:rPr>
          <w:noProof/>
        </w:rPr>
        <w:drawing>
          <wp:inline distT="0" distB="0" distL="0" distR="0" wp14:anchorId="374996F2" wp14:editId="0B251F0A">
            <wp:extent cx="6645910" cy="2430145"/>
            <wp:effectExtent l="0" t="0" r="0" b="0"/>
            <wp:docPr id="1669852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2278" name=""/>
                    <pic:cNvPicPr/>
                  </pic:nvPicPr>
                  <pic:blipFill>
                    <a:blip r:embed="rId21"/>
                    <a:stretch>
                      <a:fillRect/>
                    </a:stretch>
                  </pic:blipFill>
                  <pic:spPr>
                    <a:xfrm>
                      <a:off x="0" y="0"/>
                      <a:ext cx="6645910" cy="2430145"/>
                    </a:xfrm>
                    <a:prstGeom prst="rect">
                      <a:avLst/>
                    </a:prstGeom>
                  </pic:spPr>
                </pic:pic>
              </a:graphicData>
            </a:graphic>
          </wp:inline>
        </w:drawing>
      </w:r>
    </w:p>
    <w:p w14:paraId="34F6F423" w14:textId="07DCC4A2" w:rsidR="00497886" w:rsidRDefault="00DE087B" w:rsidP="00DE087B">
      <w:r>
        <w:t>2025年公司撤销Global Ventures，将相关业务重新划入地理分部，其中Costa非即饮业务等归入EMEA。EMEA此后包含按公司管理口径归属的Costa业务，其边界不能完全按门店所在地理解。</w:t>
      </w:r>
    </w:p>
    <w:p w14:paraId="1542BA45" w14:textId="77777777" w:rsidR="00497886" w:rsidRDefault="00497886" w:rsidP="003518DD"/>
    <w:p w14:paraId="5E9C9FFB" w14:textId="36718A34" w:rsidR="004E5C97" w:rsidRDefault="004E5C97" w:rsidP="004E5C97">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8</w:t>
      </w:r>
      <w:r>
        <w:fldChar w:fldCharType="end"/>
      </w:r>
      <w:r>
        <w:rPr>
          <w:rFonts w:hint="eastAsia"/>
        </w:rPr>
        <w:t>：</w:t>
      </w:r>
      <w:r w:rsidR="006F2D70">
        <w:rPr>
          <w:rFonts w:hint="eastAsia"/>
        </w:rPr>
        <w:t>剔除结构变化的</w:t>
      </w:r>
      <w:r>
        <w:rPr>
          <w:rFonts w:hint="eastAsia"/>
        </w:rPr>
        <w:t>瓶装投资分部销量</w:t>
      </w:r>
    </w:p>
    <w:p w14:paraId="76113827" w14:textId="39B23DC5" w:rsidR="004E5C97" w:rsidRDefault="004E5C97" w:rsidP="004E5C97">
      <w:r w:rsidRPr="006E16D8">
        <w:rPr>
          <w:noProof/>
        </w:rPr>
        <w:drawing>
          <wp:inline distT="0" distB="0" distL="0" distR="0" wp14:anchorId="05F88364" wp14:editId="29D5381F">
            <wp:extent cx="6645910" cy="2092960"/>
            <wp:effectExtent l="0" t="0" r="0" b="2540"/>
            <wp:docPr id="1572069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69972" name=""/>
                    <pic:cNvPicPr/>
                  </pic:nvPicPr>
                  <pic:blipFill>
                    <a:blip r:embed="rId22"/>
                    <a:stretch>
                      <a:fillRect/>
                    </a:stretch>
                  </pic:blipFill>
                  <pic:spPr>
                    <a:xfrm>
                      <a:off x="0" y="0"/>
                      <a:ext cx="6645910" cy="2092960"/>
                    </a:xfrm>
                    <a:prstGeom prst="rect">
                      <a:avLst/>
                    </a:prstGeom>
                  </pic:spPr>
                </pic:pic>
              </a:graphicData>
            </a:graphic>
          </wp:inline>
        </w:drawing>
      </w:r>
    </w:p>
    <w:p w14:paraId="6F5658E1" w14:textId="26E1ECD1" w:rsidR="004E5C97" w:rsidRPr="00B21A1A" w:rsidRDefault="00B21A1A" w:rsidP="00B21A1A">
      <w:pPr>
        <w:ind w:firstLine="420"/>
        <w:rPr>
          <w:sz w:val="20"/>
          <w:szCs w:val="21"/>
        </w:rPr>
      </w:pPr>
      <w:r w:rsidRPr="00B21A1A">
        <w:rPr>
          <w:sz w:val="20"/>
          <w:szCs w:val="21"/>
        </w:rPr>
        <w:t>仅包括纳入KO合并范围的装瓶业务，不代表全部成品业务。</w:t>
      </w:r>
    </w:p>
    <w:p w14:paraId="6B806400" w14:textId="1A3FCFDD" w:rsidR="004F2F03" w:rsidRDefault="004F2F03" w:rsidP="004F2F03">
      <w:r>
        <w:t>FY2024—FY2025，装瓶投资分部的报表销量大幅下降，但剔除结构变化后分别增长5%和持平，装瓶资产退出合并范围，是报表销量下降的重要原因。</w:t>
      </w:r>
    </w:p>
    <w:p w14:paraId="74138458" w14:textId="6FDE68BA" w:rsidR="0001350F" w:rsidRDefault="004F2F03" w:rsidP="003518DD">
      <w:r>
        <w:t>2026年上半年，保留装瓶业务的经营表现有所改善，剔除结构变化后销量增长6%，其中第二季度增长8%。</w:t>
      </w:r>
      <w:r>
        <w:lastRenderedPageBreak/>
        <w:t>公司仍在调整装瓶资产，但保留业务可以同时实现增长。</w:t>
      </w:r>
    </w:p>
    <w:p w14:paraId="5CA612F0" w14:textId="77777777" w:rsidR="0001350F" w:rsidRDefault="0001350F" w:rsidP="003518DD"/>
    <w:p w14:paraId="17E0871D" w14:textId="79431E39" w:rsidR="00497886" w:rsidRPr="00404EE5" w:rsidRDefault="00404EE5" w:rsidP="00404EE5">
      <w:pPr>
        <w:pStyle w:val="a9"/>
        <w:numPr>
          <w:ilvl w:val="0"/>
          <w:numId w:val="16"/>
        </w:numPr>
        <w:rPr>
          <w:b/>
          <w:bCs/>
        </w:rPr>
      </w:pPr>
      <w:r w:rsidRPr="00404EE5">
        <w:rPr>
          <w:rFonts w:hint="eastAsia"/>
          <w:b/>
          <w:bCs/>
        </w:rPr>
        <w:t>分</w:t>
      </w:r>
      <w:r w:rsidR="008E61F4">
        <w:rPr>
          <w:rFonts w:hint="eastAsia"/>
          <w:b/>
          <w:bCs/>
        </w:rPr>
        <w:t>部</w:t>
      </w:r>
      <w:r w:rsidRPr="00404EE5">
        <w:rPr>
          <w:rFonts w:hint="eastAsia"/>
          <w:b/>
          <w:bCs/>
        </w:rPr>
        <w:t>近期表现</w:t>
      </w:r>
    </w:p>
    <w:p w14:paraId="71319D3A" w14:textId="37864A4E" w:rsidR="00404EE5" w:rsidRDefault="00404EE5" w:rsidP="00404EE5">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9</w:t>
      </w:r>
      <w:r>
        <w:fldChar w:fldCharType="end"/>
      </w:r>
      <w:r>
        <w:rPr>
          <w:rFonts w:hint="eastAsia"/>
        </w:rPr>
        <w:t>：近期体系销量表现</w:t>
      </w:r>
    </w:p>
    <w:p w14:paraId="386FA42A" w14:textId="16CBC974" w:rsidR="00404EE5" w:rsidRDefault="00404EE5" w:rsidP="003518DD">
      <w:r w:rsidRPr="00404EE5">
        <w:rPr>
          <w:noProof/>
        </w:rPr>
        <w:drawing>
          <wp:inline distT="0" distB="0" distL="0" distR="0" wp14:anchorId="22FC2D93" wp14:editId="26C0C09C">
            <wp:extent cx="6645910" cy="1931670"/>
            <wp:effectExtent l="0" t="0" r="0" b="0"/>
            <wp:docPr id="202815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6899" name=""/>
                    <pic:cNvPicPr/>
                  </pic:nvPicPr>
                  <pic:blipFill>
                    <a:blip r:embed="rId23"/>
                    <a:stretch>
                      <a:fillRect/>
                    </a:stretch>
                  </pic:blipFill>
                  <pic:spPr>
                    <a:xfrm>
                      <a:off x="0" y="0"/>
                      <a:ext cx="6645910" cy="1931670"/>
                    </a:xfrm>
                    <a:prstGeom prst="rect">
                      <a:avLst/>
                    </a:prstGeom>
                  </pic:spPr>
                </pic:pic>
              </a:graphicData>
            </a:graphic>
          </wp:inline>
        </w:drawing>
      </w:r>
    </w:p>
    <w:p w14:paraId="0A9925D2" w14:textId="77777777" w:rsidR="008866B3" w:rsidRDefault="008866B3" w:rsidP="008866B3">
      <w:r>
        <w:t>2025年前三季度，各地区表现分化。EMEA连续增长；北美由一季度下降3%，逐步改善至三季度持平；拉美二季度下降2%，三季度恢复持平；亚太则由一季度增长6%，转为二、三季度下降。</w:t>
      </w:r>
    </w:p>
    <w:p w14:paraId="304CA8AE" w14:textId="77777777" w:rsidR="008866B3" w:rsidRDefault="008866B3" w:rsidP="008866B3">
      <w:r w:rsidRPr="00827065">
        <w:rPr>
          <w:b/>
          <w:bCs/>
        </w:rPr>
        <w:t>2026年上半年，四个地理分部均实现正增长，全球销量改善的覆盖面扩大。</w:t>
      </w:r>
      <w:r>
        <w:t>官方公告披露，2026Q1全球增长主要由中国、美国和印度带动，Q2主要由印度、中国、美国和巴西带动。</w:t>
      </w:r>
    </w:p>
    <w:p w14:paraId="07EFE851" w14:textId="77777777" w:rsidR="008866B3" w:rsidRDefault="008866B3" w:rsidP="008866B3">
      <w:r>
        <w:t>EMEA在2026Q1和Q2分别增长2%和4%。管理层表示，二季度各运营单元均增长，欧洲部分市场受益于有利天气，中东冲突仍造成扰动。</w:t>
      </w:r>
    </w:p>
    <w:p w14:paraId="19B01B62" w14:textId="2271A134" w:rsidR="008866B3" w:rsidRDefault="008866B3" w:rsidP="008866B3">
      <w:r>
        <w:t>拉美分别增长1%和3%。一季度巴西及中美洲的增长抵消墨西哥和阿根廷的下降；二季度管理层称巴西环境有所改善，墨西哥仍面临挑战。</w:t>
      </w:r>
    </w:p>
    <w:p w14:paraId="14173BAC" w14:textId="77777777" w:rsidR="008866B3" w:rsidRDefault="008866B3" w:rsidP="008866B3">
      <w:r>
        <w:t>北美分别增长4%和3%。官方公告显示，一季度增长主要由可口可乐商标系列及水、运动饮料、咖啡和茶支持；二季度主要由可口可乐商标系列及果汁、增值乳制品和植物基饮料支持。增长已经涉及多个主要产品类别。</w:t>
      </w:r>
    </w:p>
    <w:p w14:paraId="605004FA" w14:textId="6A7BC3D8" w:rsidR="00404EE5" w:rsidRDefault="008866B3" w:rsidP="008866B3">
      <w:r>
        <w:t>亚太分别增长5%和8%。一季度增长覆盖所有全球主要品类，二季度主要由风味碳酸软饮和可口可乐商标系列支持。不过，官方公告同时披露，2026Q2亚太价值份额下降，印度的份额下降超过日本和中国的份额增长。</w:t>
      </w:r>
    </w:p>
    <w:p w14:paraId="240E424F" w14:textId="77777777" w:rsidR="00404EE5" w:rsidRDefault="00404EE5" w:rsidP="003518DD"/>
    <w:p w14:paraId="2BDE3E97" w14:textId="24193C21" w:rsidR="00404EE5" w:rsidRPr="00F61AC1" w:rsidRDefault="00F61AC1" w:rsidP="00F61AC1">
      <w:pPr>
        <w:pStyle w:val="a9"/>
        <w:numPr>
          <w:ilvl w:val="0"/>
          <w:numId w:val="16"/>
        </w:numPr>
        <w:rPr>
          <w:b/>
          <w:bCs/>
        </w:rPr>
      </w:pPr>
      <w:r w:rsidRPr="00F61AC1">
        <w:rPr>
          <w:rFonts w:hint="eastAsia"/>
          <w:b/>
          <w:bCs/>
        </w:rPr>
        <w:t>分产品</w:t>
      </w:r>
    </w:p>
    <w:p w14:paraId="3534F1AB" w14:textId="61D606D2" w:rsidR="00497886" w:rsidRDefault="00EA3410" w:rsidP="003518DD">
      <w:r w:rsidRPr="00EA3410">
        <w:t>公司产品分类有所调整，分为两个时期。</w:t>
      </w:r>
    </w:p>
    <w:p w14:paraId="5B95B820" w14:textId="7080B5E5" w:rsidR="00B6417E" w:rsidRDefault="00B6417E" w:rsidP="00B6417E">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10</w:t>
      </w:r>
      <w:r>
        <w:fldChar w:fldCharType="end"/>
      </w:r>
      <w:r>
        <w:rPr>
          <w:rFonts w:hint="eastAsia"/>
        </w:rPr>
        <w:t>：</w:t>
      </w:r>
      <w:r>
        <w:rPr>
          <w:rFonts w:hint="eastAsia"/>
        </w:rPr>
        <w:t>FY17-20</w:t>
      </w:r>
      <w:r w:rsidR="005B0962">
        <w:rPr>
          <w:rFonts w:hint="eastAsia"/>
        </w:rPr>
        <w:t>各品类销量增长</w:t>
      </w:r>
    </w:p>
    <w:p w14:paraId="557B2CC2" w14:textId="7D2A2068" w:rsidR="00497886" w:rsidRDefault="00B6417E" w:rsidP="003518DD">
      <w:r w:rsidRPr="00B6417E">
        <w:rPr>
          <w:noProof/>
        </w:rPr>
        <w:drawing>
          <wp:inline distT="0" distB="0" distL="0" distR="0" wp14:anchorId="542A4412" wp14:editId="1CB27A60">
            <wp:extent cx="5657477" cy="2209800"/>
            <wp:effectExtent l="0" t="0" r="0" b="0"/>
            <wp:docPr id="1361173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73595" name=""/>
                    <pic:cNvPicPr/>
                  </pic:nvPicPr>
                  <pic:blipFill>
                    <a:blip r:embed="rId24"/>
                    <a:stretch>
                      <a:fillRect/>
                    </a:stretch>
                  </pic:blipFill>
                  <pic:spPr>
                    <a:xfrm>
                      <a:off x="0" y="0"/>
                      <a:ext cx="5698000" cy="2225628"/>
                    </a:xfrm>
                    <a:prstGeom prst="rect">
                      <a:avLst/>
                    </a:prstGeom>
                  </pic:spPr>
                </pic:pic>
              </a:graphicData>
            </a:graphic>
          </wp:inline>
        </w:drawing>
      </w:r>
    </w:p>
    <w:p w14:paraId="4B8C378B" w14:textId="0426144C" w:rsidR="00815110" w:rsidRDefault="00094D68" w:rsidP="003518DD">
      <w:r w:rsidRPr="00094D68">
        <w:t>疫情前，主要品类普遍属于低速增长。Coca-Cola Zero Sugar在FY2018和FY2019均实现双位数增长，表现明显强于整体。</w:t>
      </w:r>
    </w:p>
    <w:p w14:paraId="0935ED45" w14:textId="40668023" w:rsidR="005B0962" w:rsidRDefault="005B0962" w:rsidP="005B0962">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11</w:t>
      </w:r>
      <w:r>
        <w:fldChar w:fldCharType="end"/>
      </w:r>
      <w:r>
        <w:rPr>
          <w:rFonts w:hint="eastAsia"/>
        </w:rPr>
        <w:t>：</w:t>
      </w:r>
      <w:r>
        <w:rPr>
          <w:rFonts w:hint="eastAsia"/>
        </w:rPr>
        <w:t>FY21-25</w:t>
      </w:r>
      <w:r>
        <w:rPr>
          <w:rFonts w:hint="eastAsia"/>
        </w:rPr>
        <w:t>各品类销量增长</w:t>
      </w:r>
    </w:p>
    <w:p w14:paraId="54C7FAD2" w14:textId="51387DCD" w:rsidR="00815110" w:rsidRDefault="005B0962" w:rsidP="003518DD">
      <w:r w:rsidRPr="005B0962">
        <w:rPr>
          <w:noProof/>
        </w:rPr>
        <w:drawing>
          <wp:inline distT="0" distB="0" distL="0" distR="0" wp14:anchorId="7F3F0772" wp14:editId="5C4FB4FC">
            <wp:extent cx="6645910" cy="4980305"/>
            <wp:effectExtent l="0" t="0" r="0" b="0"/>
            <wp:docPr id="158559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96274" name=""/>
                    <pic:cNvPicPr/>
                  </pic:nvPicPr>
                  <pic:blipFill>
                    <a:blip r:embed="rId25"/>
                    <a:stretch>
                      <a:fillRect/>
                    </a:stretch>
                  </pic:blipFill>
                  <pic:spPr>
                    <a:xfrm>
                      <a:off x="0" y="0"/>
                      <a:ext cx="6645910" cy="4980305"/>
                    </a:xfrm>
                    <a:prstGeom prst="rect">
                      <a:avLst/>
                    </a:prstGeom>
                  </pic:spPr>
                </pic:pic>
              </a:graphicData>
            </a:graphic>
          </wp:inline>
        </w:drawing>
      </w:r>
    </w:p>
    <w:p w14:paraId="213D77AC" w14:textId="77777777" w:rsidR="00304BB7" w:rsidRDefault="00304BB7" w:rsidP="00304BB7">
      <w:r>
        <w:t>FY2025碳酸软饮持平，意味着占全球约69%的主体品类未提供明显量增。内部可口可乐商标系列持平，风味碳酸软饮下降1%；Zero Sugar虽然增长14%，但未能带动整个可口可乐商标系列增长。</w:t>
      </w:r>
    </w:p>
    <w:p w14:paraId="746F6E4F" w14:textId="18C5D00D" w:rsidR="00304BB7" w:rsidRDefault="00304BB7" w:rsidP="00304BB7">
      <w:r>
        <w:t>果汁、增值乳制品和植物基饮料，从FY2021增长12%逐步降至FY2025下降3%。全年公告指出，FY2025拉</w:t>
      </w:r>
      <w:r>
        <w:lastRenderedPageBreak/>
        <w:t>美的增长被亚太及EMEA下降抵消；第四季度还受到出售尼日利亚成品业务的影响</w:t>
      </w:r>
    </w:p>
    <w:p w14:paraId="476E88DC" w14:textId="71E7B8F8" w:rsidR="00815110" w:rsidRDefault="00304BB7" w:rsidP="00304BB7">
      <w:r>
        <w:t>水及运动饮料在FY2025恢复小幅增长；茶连续两年增长，表现较稳；咖啡则由FY2022增长13%，降至FY2024下降3%、FY2025持平。公司的多品类布局提供了不同增长机会，也包含增长尚未稳定的业务。</w:t>
      </w:r>
    </w:p>
    <w:p w14:paraId="7E8A4A4B" w14:textId="77777777" w:rsidR="00B6417E" w:rsidRDefault="00B6417E" w:rsidP="003518DD"/>
    <w:p w14:paraId="74CF9668" w14:textId="56A9D896" w:rsidR="00A94D2F" w:rsidRDefault="00A94D2F" w:rsidP="00A94D2F">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12</w:t>
      </w:r>
      <w:r>
        <w:fldChar w:fldCharType="end"/>
      </w:r>
      <w:r>
        <w:rPr>
          <w:rFonts w:hint="eastAsia"/>
        </w:rPr>
        <w:t>：近期产品变化</w:t>
      </w:r>
    </w:p>
    <w:p w14:paraId="31D4D71E" w14:textId="68CC6953" w:rsidR="00B6417E" w:rsidRDefault="00A94D2F" w:rsidP="003518DD">
      <w:r w:rsidRPr="00A94D2F">
        <w:rPr>
          <w:noProof/>
        </w:rPr>
        <w:drawing>
          <wp:inline distT="0" distB="0" distL="0" distR="0" wp14:anchorId="04F17BA8" wp14:editId="78886957">
            <wp:extent cx="6645910" cy="2943860"/>
            <wp:effectExtent l="0" t="0" r="0" b="2540"/>
            <wp:docPr id="2001008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8849" name=""/>
                    <pic:cNvPicPr/>
                  </pic:nvPicPr>
                  <pic:blipFill>
                    <a:blip r:embed="rId26"/>
                    <a:stretch>
                      <a:fillRect/>
                    </a:stretch>
                  </pic:blipFill>
                  <pic:spPr>
                    <a:xfrm>
                      <a:off x="0" y="0"/>
                      <a:ext cx="6645910" cy="2943860"/>
                    </a:xfrm>
                    <a:prstGeom prst="rect">
                      <a:avLst/>
                    </a:prstGeom>
                  </pic:spPr>
                </pic:pic>
              </a:graphicData>
            </a:graphic>
          </wp:inline>
        </w:drawing>
      </w:r>
    </w:p>
    <w:p w14:paraId="4BEC980A" w14:textId="2B91D3A1" w:rsidR="00F97952" w:rsidRDefault="00F97952" w:rsidP="00F97952">
      <w:r w:rsidRPr="00F97952">
        <w:rPr>
          <w:b/>
          <w:bCs/>
        </w:rPr>
        <w:t>Zero Sugar的较快增长具有连续性，所列八个季度均为双位数增长。</w:t>
      </w:r>
      <w:r>
        <w:t>2026年上半年，Diet Coke及风味碳酸软饮也恢复较好增长，碳酸产品的改善不再仅由Zero Sugar支撑。</w:t>
      </w:r>
    </w:p>
    <w:p w14:paraId="4E9182EF" w14:textId="14708BE7" w:rsidR="00F97952" w:rsidRDefault="00F97952" w:rsidP="00F97952">
      <w:r w:rsidRPr="00F97952">
        <w:rPr>
          <w:b/>
          <w:bCs/>
        </w:rPr>
        <w:t>水、运动饮料和茶的增长扩大。</w:t>
      </w:r>
      <w:r>
        <w:t>水在2026Q1和Q2分别增长5%和6%，茶分别增长8%和6%，运动饮料自2025Q3恢复正增长。它们共同支持了该组合品类的改善。</w:t>
      </w:r>
    </w:p>
    <w:p w14:paraId="3F58F9B8" w14:textId="70ADC279" w:rsidR="00F97952" w:rsidRDefault="00F97952" w:rsidP="00F97952">
      <w:r>
        <w:t>果汁及乳制品等品类在2026Q2恢复增长2%，但需要结合范围变化读数。2026Q1公告明确指出，</w:t>
      </w:r>
      <w:proofErr w:type="spellStart"/>
      <w:r>
        <w:t>fairlife</w:t>
      </w:r>
      <w:proofErr w:type="spellEnd"/>
      <w:r>
        <w:t>和Santa Clara的增长，被出售尼日利亚成品业务的影响抵消，该季度合计下降1%。</w:t>
      </w:r>
    </w:p>
    <w:p w14:paraId="2FFC0438" w14:textId="74332EE7" w:rsidR="00B6417E" w:rsidRDefault="00F97952" w:rsidP="00F97952">
      <w:r w:rsidRPr="000F4C7B">
        <w:rPr>
          <w:b/>
          <w:bCs/>
        </w:rPr>
        <w:t>咖啡仍是近期相对偏弱的品类。</w:t>
      </w:r>
      <w:r>
        <w:t>2026Q1持平、Q2下降2%，后者主要由亚太下降造成。</w:t>
      </w:r>
    </w:p>
    <w:p w14:paraId="51486171" w14:textId="77777777" w:rsidR="00B6417E" w:rsidRDefault="00B6417E" w:rsidP="003518DD"/>
    <w:p w14:paraId="1E35900D" w14:textId="77777777" w:rsidR="00AF373C" w:rsidRDefault="00AF373C" w:rsidP="003518DD"/>
    <w:p w14:paraId="5342C7D7" w14:textId="77777777" w:rsidR="00AF373C" w:rsidRDefault="00AF373C" w:rsidP="003518DD"/>
    <w:p w14:paraId="5F2C75E2" w14:textId="6EC912FD" w:rsidR="00B6417E" w:rsidRDefault="003A4861" w:rsidP="003A4861">
      <w:pPr>
        <w:pStyle w:val="4"/>
      </w:pPr>
      <w:r>
        <w:rPr>
          <w:rFonts w:hint="eastAsia"/>
        </w:rPr>
        <w:t>浓缩液销量</w:t>
      </w:r>
    </w:p>
    <w:p w14:paraId="2C8D9E2B" w14:textId="1C632B75" w:rsidR="009C1E10" w:rsidRPr="009C1E10" w:rsidRDefault="009C1E10" w:rsidP="009C1E10">
      <w:pPr>
        <w:pStyle w:val="a9"/>
        <w:numPr>
          <w:ilvl w:val="0"/>
          <w:numId w:val="8"/>
        </w:numPr>
        <w:rPr>
          <w:b/>
          <w:bCs/>
        </w:rPr>
      </w:pPr>
      <w:r w:rsidRPr="009C1E10">
        <w:rPr>
          <w:rFonts w:hint="eastAsia"/>
          <w:b/>
          <w:bCs/>
        </w:rPr>
        <w:t>结论</w:t>
      </w:r>
    </w:p>
    <w:p w14:paraId="6781FFAB" w14:textId="2DC2FDC1" w:rsidR="00197F5C" w:rsidRDefault="009C1E10" w:rsidP="003518DD">
      <w:r w:rsidRPr="00D84E7A">
        <w:rPr>
          <w:b/>
        </w:rPr>
        <w:t>可口可乐的浓缩液销量在疫情冲击及随后恢复之后，重新回到较低增速。</w:t>
      </w:r>
      <w:r w:rsidRPr="009C1E10">
        <w:t>全球增速由FY2021的9%、FY2022的5%，逐步降至FY2023的2%，FY2024和FY2025均为1%。地区表现并不一致：拉美在FY2021—FY2023保持较快增长，但FY2025转为下降；EMEA则成为FY2025四个地理分部中唯一保持正增长的地区。2026年上半年，公司端销量明显改善，全球浓缩液销量增长6%，但其中包含季度天数增加的影响，尚不能据此判断长期增长速度已经提高。</w:t>
      </w:r>
    </w:p>
    <w:p w14:paraId="0C3CAA58" w14:textId="5BF06B14" w:rsidR="008F21CB" w:rsidRDefault="008F21CB" w:rsidP="003518DD"/>
    <w:p w14:paraId="00E32B80" w14:textId="394C9449" w:rsidR="000B40DC" w:rsidRDefault="000B40DC" w:rsidP="000B40DC">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13</w:t>
      </w:r>
      <w:r>
        <w:fldChar w:fldCharType="end"/>
      </w:r>
      <w:r>
        <w:rPr>
          <w:rFonts w:hint="eastAsia"/>
        </w:rPr>
        <w:t>：浓缩液</w:t>
      </w:r>
      <w:r w:rsidR="009E4E86">
        <w:rPr>
          <w:rFonts w:hint="eastAsia"/>
        </w:rPr>
        <w:t>销量</w:t>
      </w:r>
      <w:r>
        <w:rPr>
          <w:rFonts w:hint="eastAsia"/>
        </w:rPr>
        <w:t>历年增速</w:t>
      </w:r>
    </w:p>
    <w:p w14:paraId="7536CB3E" w14:textId="09BC633C" w:rsidR="00197F5C" w:rsidRDefault="000B40DC" w:rsidP="003518DD">
      <w:r w:rsidRPr="000B40DC">
        <w:rPr>
          <w:noProof/>
        </w:rPr>
        <w:drawing>
          <wp:inline distT="0" distB="0" distL="0" distR="0" wp14:anchorId="1B37A0EF" wp14:editId="5DE488FA">
            <wp:extent cx="6645910" cy="3150235"/>
            <wp:effectExtent l="0" t="0" r="0" b="0"/>
            <wp:docPr id="137325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58065" name=""/>
                    <pic:cNvPicPr/>
                  </pic:nvPicPr>
                  <pic:blipFill>
                    <a:blip r:embed="rId27"/>
                    <a:stretch>
                      <a:fillRect/>
                    </a:stretch>
                  </pic:blipFill>
                  <pic:spPr>
                    <a:xfrm>
                      <a:off x="0" y="0"/>
                      <a:ext cx="6645910" cy="3150235"/>
                    </a:xfrm>
                    <a:prstGeom prst="rect">
                      <a:avLst/>
                    </a:prstGeom>
                  </pic:spPr>
                </pic:pic>
              </a:graphicData>
            </a:graphic>
          </wp:inline>
        </w:drawing>
      </w:r>
    </w:p>
    <w:p w14:paraId="2FEFD97F" w14:textId="61FCEE81" w:rsidR="00384E12" w:rsidRDefault="00384E12" w:rsidP="0039621C">
      <w:r w:rsidRPr="00384E12">
        <w:t>全球数据呈现出三个阶段。</w:t>
      </w:r>
    </w:p>
    <w:p w14:paraId="635B77AA" w14:textId="4CFA0DCA" w:rsidR="0039621C" w:rsidRDefault="0039621C" w:rsidP="0039621C">
      <w:r>
        <w:t>FY2016—FY2019，全球浓缩液销量低速增长。但这些原始增速也包含经营范围变化。例如，剔除公司界定的相关调整后，FY2016全球增速为1%，FY2019为1%。</w:t>
      </w:r>
    </w:p>
    <w:p w14:paraId="470AAF31" w14:textId="27815DC8" w:rsidR="0039621C" w:rsidRDefault="0039621C" w:rsidP="0039621C">
      <w:r>
        <w:t>FY2020，全球下降7%，四个地理分部及Global Ventures全部下降。FY2021和FY2022分别恢复增长9%和5%，但恢复期间还存在库存因素。FY2021年报明确指出，部分装瓶商担心潜在供应链中断，因而增加库存，影响了浓缩液发货安排。FY2021的较快增长，既包含经营恢复，也受到部分装瓶商备货的支持。</w:t>
      </w:r>
    </w:p>
    <w:p w14:paraId="42264104" w14:textId="7FEFBCFE" w:rsidR="00B6417E" w:rsidRDefault="0039621C" w:rsidP="0039621C">
      <w:r>
        <w:t>FY2023—FY2025，全球增速降至2%、1%和1%。即使考虑部分结构调整，这组数据仍表明，疫情恢复阶段的较快增长没有延续，</w:t>
      </w:r>
      <w:r w:rsidRPr="0039621C">
        <w:rPr>
          <w:b/>
          <w:bCs/>
        </w:rPr>
        <w:t>公司端销量重新进入温和扩张阶段</w:t>
      </w:r>
      <w:r>
        <w:t>。需要注意，FY2024原始增速为1%，剔除结构变化后为2%，因此该年的经营增长略强于原始数字所显示的水平。</w:t>
      </w:r>
    </w:p>
    <w:p w14:paraId="61E818EC" w14:textId="77777777" w:rsidR="00BF35B0" w:rsidRDefault="00BF35B0" w:rsidP="00BF35B0"/>
    <w:p w14:paraId="20110228" w14:textId="0F17FA0F" w:rsidR="00BF35B0" w:rsidRPr="008F21CB" w:rsidRDefault="004B7AE1" w:rsidP="00C96BC9">
      <w:pPr>
        <w:pStyle w:val="a9"/>
        <w:numPr>
          <w:ilvl w:val="0"/>
          <w:numId w:val="17"/>
        </w:numPr>
        <w:rPr>
          <w:b/>
          <w:bCs/>
        </w:rPr>
      </w:pPr>
      <w:r w:rsidRPr="008F21CB">
        <w:rPr>
          <w:b/>
          <w:bCs/>
        </w:rPr>
        <w:t>分</w:t>
      </w:r>
      <w:r w:rsidR="008E61F4">
        <w:rPr>
          <w:rFonts w:hint="eastAsia"/>
          <w:b/>
          <w:bCs/>
        </w:rPr>
        <w:t>部</w:t>
      </w:r>
      <w:r w:rsidRPr="008F21CB">
        <w:rPr>
          <w:b/>
          <w:bCs/>
        </w:rPr>
        <w:t>分析</w:t>
      </w:r>
    </w:p>
    <w:p w14:paraId="1C981FBF" w14:textId="77777777" w:rsidR="00370D03" w:rsidRDefault="00A65005" w:rsidP="00BF35B0">
      <w:pPr>
        <w:rPr>
          <w:b/>
          <w:bCs/>
        </w:rPr>
      </w:pPr>
      <w:r w:rsidRPr="00F91565">
        <w:rPr>
          <w:rFonts w:hint="eastAsia"/>
          <w:b/>
          <w:bCs/>
        </w:rPr>
        <w:t>EMEA：</w:t>
      </w:r>
      <w:r w:rsidRPr="00F91565">
        <w:rPr>
          <w:b/>
          <w:bCs/>
        </w:rPr>
        <w:t>2025年恢复增长，历史上的高增速还涉及业务模式变化。</w:t>
      </w:r>
    </w:p>
    <w:p w14:paraId="478C8C00" w14:textId="78356B9A" w:rsidR="00BF35B0" w:rsidRPr="00370D03" w:rsidRDefault="00370D03" w:rsidP="00BF35B0">
      <w:r w:rsidRPr="00370D03">
        <w:t>FY2018，原有茶饮合资企业Beverage Partners Worldwide解散，由</w:t>
      </w:r>
      <w:proofErr w:type="spellStart"/>
      <w:r w:rsidRPr="00370D03">
        <w:t>Fuze</w:t>
      </w:r>
      <w:proofErr w:type="spellEnd"/>
      <w:r w:rsidRPr="00370D03">
        <w:t xml:space="preserve"> Tea上市接替。公司原先不向该合资企业销售浓缩液，而</w:t>
      </w:r>
      <w:proofErr w:type="spellStart"/>
      <w:r w:rsidRPr="00370D03">
        <w:t>Fuze</w:t>
      </w:r>
      <w:proofErr w:type="spellEnd"/>
      <w:r w:rsidRPr="00370D03">
        <w:t xml:space="preserve"> Tea由公司生产并销售相关浓缩液</w:t>
      </w:r>
      <w:r>
        <w:rPr>
          <w:rFonts w:hint="eastAsia"/>
        </w:rPr>
        <w:t>，因此</w:t>
      </w:r>
      <w:r w:rsidR="00AE253B">
        <w:rPr>
          <w:rFonts w:hint="eastAsia"/>
        </w:rPr>
        <w:t>EMEA</w:t>
      </w:r>
      <w:r>
        <w:rPr>
          <w:rFonts w:hint="eastAsia"/>
        </w:rPr>
        <w:t>同比+6%</w:t>
      </w:r>
      <w:r w:rsidRPr="00370D03">
        <w:rPr>
          <w:rFonts w:hint="eastAsia"/>
        </w:rPr>
        <w:t>。</w:t>
      </w:r>
    </w:p>
    <w:p w14:paraId="75E3C32C" w14:textId="3964591F" w:rsidR="00BF35B0" w:rsidRPr="00370D03" w:rsidRDefault="00741469" w:rsidP="00BF35B0">
      <w:r w:rsidRPr="00741469">
        <w:t>FY2025，EMEA原始增速为3%，剔除剥离影响后为4%，是当年四个地理分部中唯一实现原始口径正增长的地区。与拉美、北美下降及亚太持平相比，它是公司端销量的重要增长来源。</w:t>
      </w:r>
    </w:p>
    <w:p w14:paraId="3DC373C2" w14:textId="77777777" w:rsidR="00BF35B0" w:rsidRDefault="00BF35B0" w:rsidP="00BF35B0"/>
    <w:p w14:paraId="0E3CAE39" w14:textId="06852E26" w:rsidR="00BF35B0" w:rsidRPr="00BC3205" w:rsidRDefault="00BC3205" w:rsidP="00BF35B0">
      <w:pPr>
        <w:rPr>
          <w:b/>
          <w:bCs/>
        </w:rPr>
      </w:pPr>
      <w:r w:rsidRPr="00BC3205">
        <w:rPr>
          <w:b/>
          <w:bCs/>
        </w:rPr>
        <w:t>拉美：2021—2023年的较快增长，在2024—2025年明显减弱。</w:t>
      </w:r>
    </w:p>
    <w:p w14:paraId="48F484E4" w14:textId="693D45E5" w:rsidR="00BF35B0" w:rsidRPr="00AE0932" w:rsidRDefault="00AE0932" w:rsidP="00BF35B0">
      <w:r>
        <w:rPr>
          <w:rFonts w:hint="eastAsia"/>
        </w:rPr>
        <w:t>FY2016-2017，拉美地区降幅小于其他三个地理分部。</w:t>
      </w:r>
      <w:r w:rsidRPr="00AE0932">
        <w:t>FY2021—FY2023连续保持较快增长，是这一阶段公司端销量表现较强的地区。随后FY2024增速降至3%，FY2025下降1%，增长势头明显减弱。</w:t>
      </w:r>
    </w:p>
    <w:p w14:paraId="25665CDE" w14:textId="77777777" w:rsidR="008569AD" w:rsidRDefault="008569AD" w:rsidP="00BF35B0"/>
    <w:p w14:paraId="66459317" w14:textId="01B68D1A" w:rsidR="008569AD" w:rsidRPr="001B3FF5" w:rsidRDefault="001B3FF5" w:rsidP="00BF35B0">
      <w:pPr>
        <w:rPr>
          <w:b/>
          <w:bCs/>
        </w:rPr>
      </w:pPr>
      <w:r w:rsidRPr="001B3FF5">
        <w:rPr>
          <w:b/>
          <w:bCs/>
        </w:rPr>
        <w:t>北美：公司端销量长期缺少持续扩张，早期数据受到再特许经营影响。</w:t>
      </w:r>
    </w:p>
    <w:p w14:paraId="679B03E8" w14:textId="0B220D6F" w:rsidR="00BF35B0" w:rsidRPr="009B02A2" w:rsidRDefault="009B02A2" w:rsidP="00BF35B0">
      <w:r w:rsidRPr="009B02A2">
        <w:t>北美原始增速在FY2016和FY2017均为2%，FY2018和FY2019分别下降2%和1%。但调整</w:t>
      </w:r>
      <w:r>
        <w:rPr>
          <w:rFonts w:hint="eastAsia"/>
        </w:rPr>
        <w:t>（</w:t>
      </w:r>
      <w:r>
        <w:t>剔除收购、剥离和结构变化</w:t>
      </w:r>
      <w:r>
        <w:rPr>
          <w:rFonts w:hint="eastAsia"/>
        </w:rPr>
        <w:t>）</w:t>
      </w:r>
      <w:r w:rsidRPr="009B02A2">
        <w:t>后，这一阶段的表现更接近低速增长或持平：FY2016为增长1%，FY2017持平，按FY2019年报披露的比较口径，FY2018和FY2019亦持平。</w:t>
      </w:r>
      <w:r w:rsidR="00AB357F" w:rsidRPr="00AB357F">
        <w:t>疫情后的恢复结束后，北美公司端销量仍未形成连续增长。该地区有增长品牌和产品机会，但尚未在这一总量指标上表现为稳定扩张。</w:t>
      </w:r>
    </w:p>
    <w:p w14:paraId="40F1B665" w14:textId="77777777" w:rsidR="00BF35B0" w:rsidRDefault="00BF35B0" w:rsidP="00BF35B0"/>
    <w:p w14:paraId="13EF15BD" w14:textId="5CD28CE1" w:rsidR="00BF35B0" w:rsidRPr="00DB39E4" w:rsidRDefault="00DB39E4" w:rsidP="00BF35B0">
      <w:pPr>
        <w:rPr>
          <w:b/>
          <w:bCs/>
        </w:rPr>
      </w:pPr>
      <w:r w:rsidRPr="00DB39E4">
        <w:rPr>
          <w:b/>
          <w:bCs/>
        </w:rPr>
        <w:t>亚太：疫情前增长较快，恢复后有所放缓，结构变化影响较多。</w:t>
      </w:r>
    </w:p>
    <w:p w14:paraId="5621AD5B" w14:textId="6CEB2396" w:rsidR="00BF35B0" w:rsidRDefault="00E42CDE" w:rsidP="00BF35B0">
      <w:r w:rsidRPr="00E42CDE">
        <w:t>相关结构变化涉及菲律宾、孟加拉国及印度部分地区的装瓶业务再特许经营。</w:t>
      </w:r>
    </w:p>
    <w:p w14:paraId="650450A7" w14:textId="77777777" w:rsidR="00BF35B0" w:rsidRPr="00A302B8" w:rsidRDefault="00BF35B0" w:rsidP="00BF35B0"/>
    <w:p w14:paraId="10034257" w14:textId="6581F04C" w:rsidR="002E2AC7" w:rsidRDefault="002E2AC7" w:rsidP="002E2AC7">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14</w:t>
      </w:r>
      <w:r>
        <w:fldChar w:fldCharType="end"/>
      </w:r>
      <w:r>
        <w:rPr>
          <w:rFonts w:hint="eastAsia"/>
        </w:rPr>
        <w:t>：可比调整后浓缩液销量增速</w:t>
      </w:r>
    </w:p>
    <w:p w14:paraId="6012AAF9" w14:textId="39CDF782" w:rsidR="00BF35B0" w:rsidRDefault="002E2AC7" w:rsidP="00BF35B0">
      <w:r w:rsidRPr="002E2AC7">
        <w:rPr>
          <w:noProof/>
        </w:rPr>
        <w:drawing>
          <wp:inline distT="0" distB="0" distL="0" distR="0" wp14:anchorId="2D9D0248" wp14:editId="10E4A3DA">
            <wp:extent cx="6645910" cy="2900680"/>
            <wp:effectExtent l="0" t="0" r="0" b="0"/>
            <wp:docPr id="184327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2844" name=""/>
                    <pic:cNvPicPr/>
                  </pic:nvPicPr>
                  <pic:blipFill>
                    <a:blip r:embed="rId28"/>
                    <a:stretch>
                      <a:fillRect/>
                    </a:stretch>
                  </pic:blipFill>
                  <pic:spPr>
                    <a:xfrm>
                      <a:off x="0" y="0"/>
                      <a:ext cx="6645910" cy="2900680"/>
                    </a:xfrm>
                    <a:prstGeom prst="rect">
                      <a:avLst/>
                    </a:prstGeom>
                  </pic:spPr>
                </pic:pic>
              </a:graphicData>
            </a:graphic>
          </wp:inline>
        </w:drawing>
      </w:r>
    </w:p>
    <w:p w14:paraId="4735F583" w14:textId="77777777" w:rsidR="00BF35B0" w:rsidRPr="00F032F9" w:rsidRDefault="00BF35B0" w:rsidP="00BF35B0"/>
    <w:p w14:paraId="7C18815F" w14:textId="1B8E8002" w:rsidR="00BF35B0" w:rsidRPr="00F032F9" w:rsidRDefault="00F032F9" w:rsidP="00F032F9">
      <w:pPr>
        <w:pStyle w:val="a9"/>
        <w:numPr>
          <w:ilvl w:val="0"/>
          <w:numId w:val="17"/>
        </w:numPr>
        <w:rPr>
          <w:b/>
          <w:bCs/>
        </w:rPr>
      </w:pPr>
      <w:r w:rsidRPr="00F032F9">
        <w:rPr>
          <w:rFonts w:hint="eastAsia"/>
          <w:b/>
          <w:bCs/>
        </w:rPr>
        <w:t>近期变化</w:t>
      </w:r>
    </w:p>
    <w:p w14:paraId="4043F7F9" w14:textId="21C3FC3F" w:rsidR="00327535" w:rsidRDefault="005164B3" w:rsidP="00BF35B0">
      <w:r w:rsidRPr="005164B3">
        <w:rPr>
          <w:noProof/>
        </w:rPr>
        <w:drawing>
          <wp:inline distT="0" distB="0" distL="0" distR="0" wp14:anchorId="6D453018" wp14:editId="6C19F015">
            <wp:extent cx="6645910" cy="1625600"/>
            <wp:effectExtent l="0" t="0" r="0" b="0"/>
            <wp:docPr id="1692604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4543" name=""/>
                    <pic:cNvPicPr/>
                  </pic:nvPicPr>
                  <pic:blipFill>
                    <a:blip r:embed="rId29"/>
                    <a:stretch>
                      <a:fillRect/>
                    </a:stretch>
                  </pic:blipFill>
                  <pic:spPr>
                    <a:xfrm>
                      <a:off x="0" y="0"/>
                      <a:ext cx="6645910" cy="1625600"/>
                    </a:xfrm>
                    <a:prstGeom prst="rect">
                      <a:avLst/>
                    </a:prstGeom>
                  </pic:spPr>
                </pic:pic>
              </a:graphicData>
            </a:graphic>
          </wp:inline>
        </w:drawing>
      </w:r>
    </w:p>
    <w:p w14:paraId="7429DC34" w14:textId="5B956469" w:rsidR="005164B3" w:rsidRDefault="005164B3" w:rsidP="005164B3">
      <w:r>
        <w:t>2025年前三季度，全球浓缩液销量整体偏弱：第一季度增长1%，第二季度下降1%，第三季度持平。地区之间存在差异，EMEA连续增长，拉美三个季度均下降，北美及亚太也未形成持续增长。</w:t>
      </w:r>
    </w:p>
    <w:p w14:paraId="48C06D24" w14:textId="6FF54318" w:rsidR="005164B3" w:rsidRDefault="005164B3" w:rsidP="005164B3">
      <w:r>
        <w:t>2026年上半年，四个地理分部均恢复正增长。全球增速由2026Q1的8%降至Q2的4%。一季度包含额外天</w:t>
      </w:r>
      <w:r>
        <w:lastRenderedPageBreak/>
        <w:t>数支持，季度间还存在发货安排差异。</w:t>
      </w:r>
    </w:p>
    <w:p w14:paraId="4324C206" w14:textId="1927DAD8" w:rsidR="00BF35B0" w:rsidRDefault="005164B3" w:rsidP="005164B3">
      <w:r>
        <w:t>从地区看，EMEA由第一季度增长5%降至第二季度增长1%；拉美由7%降至1%；北美由11%降至3%。这些数据表明，公司端销量恢复增长，但一季度的较高速度未在第二季度全面延续。</w:t>
      </w:r>
    </w:p>
    <w:p w14:paraId="74344721" w14:textId="4C38CD43" w:rsidR="00BF35B0" w:rsidRDefault="00327535" w:rsidP="00BF35B0">
      <w:r w:rsidRPr="00327535">
        <w:rPr>
          <w:noProof/>
        </w:rPr>
        <w:drawing>
          <wp:inline distT="0" distB="0" distL="0" distR="0" wp14:anchorId="3A276366" wp14:editId="5B3B2F0C">
            <wp:extent cx="6290733" cy="1919196"/>
            <wp:effectExtent l="0" t="0" r="0" b="0"/>
            <wp:docPr id="1290735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35531" name=""/>
                    <pic:cNvPicPr/>
                  </pic:nvPicPr>
                  <pic:blipFill>
                    <a:blip r:embed="rId30"/>
                    <a:stretch>
                      <a:fillRect/>
                    </a:stretch>
                  </pic:blipFill>
                  <pic:spPr>
                    <a:xfrm>
                      <a:off x="0" y="0"/>
                      <a:ext cx="6309596" cy="1924951"/>
                    </a:xfrm>
                    <a:prstGeom prst="rect">
                      <a:avLst/>
                    </a:prstGeom>
                  </pic:spPr>
                </pic:pic>
              </a:graphicData>
            </a:graphic>
          </wp:inline>
        </w:drawing>
      </w:r>
    </w:p>
    <w:p w14:paraId="1499ACDC" w14:textId="77777777" w:rsidR="00BF35B0" w:rsidRDefault="00BF35B0" w:rsidP="00BF35B0"/>
    <w:p w14:paraId="728CF201" w14:textId="77777777" w:rsidR="000E2C23" w:rsidRDefault="000E2C23" w:rsidP="00BF35B0"/>
    <w:p w14:paraId="09F6039E" w14:textId="77777777" w:rsidR="00DE0AA4" w:rsidRDefault="00DE0AA4" w:rsidP="00BF35B0"/>
    <w:p w14:paraId="66892EBD" w14:textId="68C88E93" w:rsidR="00BF35B0" w:rsidRDefault="0093083F" w:rsidP="00324157">
      <w:pPr>
        <w:pStyle w:val="3"/>
      </w:pPr>
      <w:r>
        <w:rPr>
          <w:rFonts w:hint="eastAsia"/>
        </w:rPr>
        <w:t>收入与增长归因</w:t>
      </w:r>
    </w:p>
    <w:p w14:paraId="103A01D7" w14:textId="63FA317F" w:rsidR="00C11605" w:rsidRPr="00C11605" w:rsidRDefault="00E7769D" w:rsidP="004F7E4F">
      <w:pPr>
        <w:pStyle w:val="4"/>
      </w:pPr>
      <w:r>
        <w:rPr>
          <w:rFonts w:hint="eastAsia"/>
        </w:rPr>
        <w:t>收入规模与</w:t>
      </w:r>
      <w:r w:rsidR="0009669D">
        <w:rPr>
          <w:rFonts w:hint="eastAsia"/>
        </w:rPr>
        <w:t>结构</w:t>
      </w:r>
    </w:p>
    <w:p w14:paraId="6D5B7B3A" w14:textId="01569A71" w:rsidR="00CC523E" w:rsidRPr="005E754B" w:rsidRDefault="00BC2CB2" w:rsidP="00BF35B0">
      <w:pPr>
        <w:pStyle w:val="a9"/>
        <w:numPr>
          <w:ilvl w:val="0"/>
          <w:numId w:val="17"/>
        </w:numPr>
        <w:rPr>
          <w:b/>
          <w:bCs/>
        </w:rPr>
      </w:pPr>
      <w:r w:rsidRPr="00BC2CB2">
        <w:rPr>
          <w:rFonts w:hint="eastAsia"/>
          <w:b/>
          <w:bCs/>
        </w:rPr>
        <w:t>合并收入与</w:t>
      </w:r>
      <w:r w:rsidR="007036FD">
        <w:rPr>
          <w:rFonts w:hint="eastAsia"/>
          <w:b/>
          <w:bCs/>
        </w:rPr>
        <w:t>地域结构</w:t>
      </w:r>
    </w:p>
    <w:p w14:paraId="0DEB0CF2" w14:textId="0AF10656" w:rsidR="00121AA5" w:rsidRDefault="00121AA5" w:rsidP="00121AA5">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15</w:t>
      </w:r>
      <w:r>
        <w:fldChar w:fldCharType="end"/>
      </w:r>
      <w:r>
        <w:rPr>
          <w:rFonts w:hint="eastAsia"/>
        </w:rPr>
        <w:t>：合并收入与分地区收入</w:t>
      </w:r>
    </w:p>
    <w:p w14:paraId="216D418B" w14:textId="0F1121C9" w:rsidR="00121AA5" w:rsidRDefault="00121AA5" w:rsidP="00BF35B0">
      <w:r w:rsidRPr="00121AA5">
        <w:rPr>
          <w:noProof/>
        </w:rPr>
        <w:drawing>
          <wp:inline distT="0" distB="0" distL="0" distR="0" wp14:anchorId="3C1937D4" wp14:editId="08A253C8">
            <wp:extent cx="6645910" cy="3822700"/>
            <wp:effectExtent l="0" t="0" r="0" b="0"/>
            <wp:docPr id="214017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5933" name=""/>
                    <pic:cNvPicPr/>
                  </pic:nvPicPr>
                  <pic:blipFill>
                    <a:blip r:embed="rId31"/>
                    <a:stretch>
                      <a:fillRect/>
                    </a:stretch>
                  </pic:blipFill>
                  <pic:spPr>
                    <a:xfrm>
                      <a:off x="0" y="0"/>
                      <a:ext cx="6645910" cy="3822700"/>
                    </a:xfrm>
                    <a:prstGeom prst="rect">
                      <a:avLst/>
                    </a:prstGeom>
                  </pic:spPr>
                </pic:pic>
              </a:graphicData>
            </a:graphic>
          </wp:inline>
        </w:drawing>
      </w:r>
    </w:p>
    <w:p w14:paraId="51C4C7C5" w14:textId="77777777" w:rsidR="00B4726A" w:rsidRDefault="00B4726A" w:rsidP="00B4726A">
      <w:r>
        <w:t>FY2016—FY2018，合并收入下降主要集中在美国。两年间，美国收入减少8,555百万美元，国际收入反而增</w:t>
      </w:r>
      <w:r>
        <w:lastRenderedPageBreak/>
        <w:t>加992百万美元。这一阶段与美国装瓶业务再特许经营相对应：装瓶业务出售后，原先并表的下游收入退出报表，公司继续通过浓缩液等业务参与当地经营。因而，这段收入下降不能直接解释为消费者购买量萎缩。</w:t>
      </w:r>
    </w:p>
    <w:p w14:paraId="0530A3BE" w14:textId="77777777" w:rsidR="00B4726A" w:rsidRDefault="00B4726A" w:rsidP="00B4726A">
      <w:r>
        <w:t>FY2019，国际收入增长11.3%，明显快于美国的3.3%，其中包含Costa等业务收购带来的合并范围扩大。随后，疫情在FY2020造成明显冲击，国际收入下降14.9%，降幅大于美国的3.7%。FY2021—FY2022，收入随着经营恢复重新扩张，美国与国际均超过疫情前水平。</w:t>
      </w:r>
    </w:p>
    <w:p w14:paraId="360654F7" w14:textId="77777777" w:rsidR="00B4726A" w:rsidRDefault="00B4726A" w:rsidP="00B4726A">
      <w:r>
        <w:t>FY2023以后，合并收入增速逐年放缓，地域表现也开始分化。FY2024，美国收入增加1,812百万美元，抵消了国际收入减少的505百万美元；FY2025，美国再增加765百万美元，约占公司全年880百万美元收入增量的87%。美国收入占比因此从FY2019的31.4%回升至FY2025的39.9%。</w:t>
      </w:r>
    </w:p>
    <w:p w14:paraId="0D779E88" w14:textId="2BF65043" w:rsidR="00CC523E" w:rsidRDefault="00B4726A" w:rsidP="00B4726A">
      <w:r>
        <w:t>不过，美国权重上升不能全部解释为美国终端需求更强。美国成品业务扩张，以及国际装瓶业务出售减少并表收入，都在影响这一比例。</w:t>
      </w:r>
    </w:p>
    <w:p w14:paraId="1CDD3A2E" w14:textId="77777777" w:rsidR="007F15F5" w:rsidRDefault="007F15F5" w:rsidP="00B4726A"/>
    <w:p w14:paraId="12F763F8" w14:textId="0B9C6EB3" w:rsidR="00A272DB" w:rsidRDefault="00A272DB" w:rsidP="00A272DB">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16</w:t>
      </w:r>
      <w:r>
        <w:fldChar w:fldCharType="end"/>
      </w:r>
      <w:r>
        <w:rPr>
          <w:rFonts w:hint="eastAsia"/>
        </w:rPr>
        <w:t>：近期合并收入与分地区收入</w:t>
      </w:r>
    </w:p>
    <w:p w14:paraId="64B465C3" w14:textId="08AF2C08" w:rsidR="00B4726A" w:rsidRDefault="00A272DB" w:rsidP="00B4726A">
      <w:r w:rsidRPr="00A272DB">
        <w:rPr>
          <w:noProof/>
        </w:rPr>
        <w:drawing>
          <wp:inline distT="0" distB="0" distL="0" distR="0" wp14:anchorId="4338DD70" wp14:editId="21F2E6F2">
            <wp:extent cx="5071533" cy="1159097"/>
            <wp:effectExtent l="0" t="0" r="0" b="0"/>
            <wp:docPr id="173682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2463" name=""/>
                    <pic:cNvPicPr/>
                  </pic:nvPicPr>
                  <pic:blipFill>
                    <a:blip r:embed="rId32"/>
                    <a:stretch>
                      <a:fillRect/>
                    </a:stretch>
                  </pic:blipFill>
                  <pic:spPr>
                    <a:xfrm>
                      <a:off x="0" y="0"/>
                      <a:ext cx="5141269" cy="1175035"/>
                    </a:xfrm>
                    <a:prstGeom prst="rect">
                      <a:avLst/>
                    </a:prstGeom>
                  </pic:spPr>
                </pic:pic>
              </a:graphicData>
            </a:graphic>
          </wp:inline>
        </w:drawing>
      </w:r>
    </w:p>
    <w:p w14:paraId="55D95EA7" w14:textId="3F6FED35" w:rsidR="00B4726A" w:rsidRDefault="00C11BBC" w:rsidP="00B4726A">
      <w:r w:rsidRPr="00C11BBC">
        <w:t>2026年上半年，国际收入增长9.5%，略快于美国的8.9%，收入增长已不再主要依赖美国。美国占合并收入38.7%，与上年同期的38.8%基本相当。第二季度两地收入增速均较第一季度回落，但第一季度还包含报告日数量增加的影响。</w:t>
      </w:r>
    </w:p>
    <w:p w14:paraId="1C1175A1" w14:textId="77777777" w:rsidR="00A272DB" w:rsidRPr="00D923DF" w:rsidRDefault="00A272DB" w:rsidP="00B4726A"/>
    <w:p w14:paraId="3C83613F" w14:textId="3B15EB08" w:rsidR="0059259D" w:rsidRPr="0059259D" w:rsidRDefault="0059259D" w:rsidP="0059259D">
      <w:pPr>
        <w:pStyle w:val="a9"/>
        <w:numPr>
          <w:ilvl w:val="0"/>
          <w:numId w:val="17"/>
        </w:numPr>
        <w:rPr>
          <w:b/>
          <w:bCs/>
        </w:rPr>
      </w:pPr>
      <w:r w:rsidRPr="0059259D">
        <w:rPr>
          <w:rFonts w:hint="eastAsia"/>
          <w:b/>
          <w:bCs/>
        </w:rPr>
        <w:t>浓缩液与成品业务</w:t>
      </w:r>
    </w:p>
    <w:p w14:paraId="35C8AAC4" w14:textId="423F755B" w:rsidR="00D923DF" w:rsidRDefault="00D923DF" w:rsidP="00D923DF">
      <w:r>
        <w:t>公司的两类收入体现不同的经营参与方式。浓缩液业务主要向授权装瓶商销售浓缩液、糖浆及部分成品；成品业务则包括合并装瓶业务、部分非装瓶成品业务、Costa门店销售，以及美国现调饮料糖浆等业务。因此，两类收入不能简单按饮料外观或是否经过装瓶来划分，也不能与前文的两项销量指标逐一对应。</w:t>
      </w:r>
    </w:p>
    <w:p w14:paraId="2D7E5829" w14:textId="5A2B8257" w:rsidR="00251F1B" w:rsidRDefault="00251F1B" w:rsidP="00251F1B">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17</w:t>
      </w:r>
      <w:r>
        <w:fldChar w:fldCharType="end"/>
      </w:r>
      <w:r>
        <w:rPr>
          <w:rFonts w:hint="eastAsia"/>
        </w:rPr>
        <w:t>：</w:t>
      </w:r>
      <w:r w:rsidRPr="001A0652">
        <w:t>浓缩液与成品业务收入</w:t>
      </w:r>
    </w:p>
    <w:p w14:paraId="7094ED13" w14:textId="17BBC52E" w:rsidR="00D923DF" w:rsidRDefault="00251F1B" w:rsidP="00D923DF">
      <w:r w:rsidRPr="00251F1B">
        <w:rPr>
          <w:noProof/>
        </w:rPr>
        <w:drawing>
          <wp:inline distT="0" distB="0" distL="0" distR="0" wp14:anchorId="1988437D" wp14:editId="138F4E79">
            <wp:extent cx="6068590" cy="3826934"/>
            <wp:effectExtent l="0" t="0" r="2540" b="0"/>
            <wp:docPr id="168551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18219" name=""/>
                    <pic:cNvPicPr/>
                  </pic:nvPicPr>
                  <pic:blipFill>
                    <a:blip r:embed="rId33"/>
                    <a:stretch>
                      <a:fillRect/>
                    </a:stretch>
                  </pic:blipFill>
                  <pic:spPr>
                    <a:xfrm>
                      <a:off x="0" y="0"/>
                      <a:ext cx="6080243" cy="3834283"/>
                    </a:xfrm>
                    <a:prstGeom prst="rect">
                      <a:avLst/>
                    </a:prstGeom>
                  </pic:spPr>
                </pic:pic>
              </a:graphicData>
            </a:graphic>
          </wp:inline>
        </w:drawing>
      </w:r>
    </w:p>
    <w:p w14:paraId="7E45874E" w14:textId="262E0E8E" w:rsidR="00620F5D" w:rsidRPr="00FA2AC5" w:rsidRDefault="00D55F95" w:rsidP="00D55F95">
      <w:pPr>
        <w:ind w:left="420"/>
        <w:rPr>
          <w:sz w:val="20"/>
          <w:szCs w:val="21"/>
        </w:rPr>
      </w:pPr>
      <w:r w:rsidRPr="00DD62DD">
        <w:rPr>
          <w:b/>
          <w:bCs/>
          <w:sz w:val="20"/>
          <w:szCs w:val="21"/>
        </w:rPr>
        <w:t>浓缩液业务收入与成品业务收入，是合并收入按经营类别进行的拆分，两者之和等于合并收入。</w:t>
      </w:r>
      <w:r w:rsidRPr="00D55F95">
        <w:rPr>
          <w:sz w:val="20"/>
          <w:szCs w:val="21"/>
        </w:rPr>
        <w:t>这套分类与前文的两种销量指标并非一一对应：浓缩液销售量并非浓缩液业务收入的专属数量指标，体系销量整体增速也不能直接代替成品业务的销量增速。因此，分析两类收入变化时，先识别收入增量落在哪类业务，再结合公司正式披露的销量、价格／组合、汇率及并购出售影响解释原因；没有单独披露的业务销量贡献，不作强行拆分。</w:t>
      </w:r>
    </w:p>
    <w:p w14:paraId="43600D2B" w14:textId="77777777" w:rsidR="00166013" w:rsidRDefault="00166013" w:rsidP="00166013">
      <w:r>
        <w:t>FY2019，成品收入增长16.4%，明显快于浓缩液业务的3.0%，全球浓缩液收入占比随之降至55.0%。这一变化包含Costa等业务并表的影响，并不代表公司原有浓缩液业务的重要性发生了同等程度的下降。FY2020，两类收入均受到疫情冲击，成品业务降幅更大；FY2021—FY2022，两类业务则共同恢复增长。</w:t>
      </w:r>
    </w:p>
    <w:p w14:paraId="56E615EB" w14:textId="77777777" w:rsidR="00166013" w:rsidRDefault="00166013" w:rsidP="00166013">
      <w:r>
        <w:t>FY2023—FY2025，浓缩液收入连续三年快于成品收入，收入占比从FY2022的56.0%升至59.4%。其中，FY2025浓缩液收入增加737百万美元，约占公司全年收入增量的84%；成品收入仅增加143百万美元。</w:t>
      </w:r>
    </w:p>
    <w:p w14:paraId="53E3B668" w14:textId="4F59DCE8" w:rsidR="00166013" w:rsidRDefault="00166013" w:rsidP="00166013">
      <w:r w:rsidRPr="009B469C">
        <w:rPr>
          <w:b/>
          <w:bCs/>
        </w:rPr>
        <w:t>但全球成品收入接近停滞，掩盖了美国与国际之间的大幅变化。</w:t>
      </w:r>
      <w:r>
        <w:t>FY2023—FY2025，全球成品收入合计仅增加264百万美元，实际上由美国增加2,401百万美元、国际减少2,137百万美元共同形成。</w:t>
      </w:r>
    </w:p>
    <w:p w14:paraId="25D0CE6C" w14:textId="61D98C0C" w:rsidR="00620F5D" w:rsidRPr="00773839" w:rsidRDefault="00166013" w:rsidP="00166013">
      <w:r>
        <w:t>2026年上半年，浓缩液与成品收入分别增长9.3%和9.2%，两类业务共同扩张。浓缩液收入占比为60.1%，与上年同期基本一致，近期增长主要体现为两类业务收入同步增加。</w:t>
      </w:r>
    </w:p>
    <w:p w14:paraId="26820FCD" w14:textId="7491A269" w:rsidR="00AF7B9C" w:rsidRPr="007314E8" w:rsidRDefault="00F84126" w:rsidP="007C0161">
      <w:pPr>
        <w:pStyle w:val="a9"/>
        <w:numPr>
          <w:ilvl w:val="0"/>
          <w:numId w:val="14"/>
        </w:numPr>
        <w:rPr>
          <w:b/>
          <w:bCs/>
        </w:rPr>
      </w:pPr>
      <w:r w:rsidRPr="00F84126">
        <w:rPr>
          <w:b/>
          <w:bCs/>
        </w:rPr>
        <w:t>美国</w:t>
      </w:r>
      <w:r w:rsidR="001A27B8">
        <w:rPr>
          <w:rFonts w:hint="eastAsia"/>
          <w:b/>
          <w:bCs/>
        </w:rPr>
        <w:t>业务</w:t>
      </w:r>
    </w:p>
    <w:p w14:paraId="32D7D111" w14:textId="7D246990" w:rsidR="001B220C" w:rsidRPr="001B220C" w:rsidRDefault="001B220C" w:rsidP="001B220C">
      <w:pPr>
        <w:pStyle w:val="a9"/>
        <w:numPr>
          <w:ilvl w:val="0"/>
          <w:numId w:val="19"/>
        </w:numPr>
        <w:rPr>
          <w:b/>
          <w:bCs/>
        </w:rPr>
      </w:pPr>
      <w:r w:rsidRPr="001B220C">
        <w:rPr>
          <w:rFonts w:hint="eastAsia"/>
          <w:b/>
          <w:bCs/>
        </w:rPr>
        <w:t>美国再特许经营</w:t>
      </w:r>
    </w:p>
    <w:p w14:paraId="640DE303" w14:textId="3726A0B8" w:rsidR="00C27B1D" w:rsidRDefault="00C27B1D" w:rsidP="00C27B1D">
      <w:pPr>
        <w:ind w:left="420"/>
      </w:pPr>
      <w:r>
        <w:t>2010年，KO先收回装瓶资产，整合北美供应体系。公司收购Coca-Cola Enterprises（CCE）的北美业务，将其与原有餐饮服务、果汁及供应链业务整合，形成Coca-Cola Refreshments（CCR）。按照当时公告，目的包括统一生产与配送、整合大客户服务、提高运营效率。KO因此一度直接承担了大量下游经营活动。</w:t>
      </w:r>
    </w:p>
    <w:p w14:paraId="03CAE6D9" w14:textId="66922F40" w:rsidR="00C27B1D" w:rsidRDefault="00C27B1D" w:rsidP="00C27B1D">
      <w:pPr>
        <w:ind w:left="420"/>
      </w:pPr>
      <w:r>
        <w:t>2013—2014年，开始将区域销售和配送交回独立装瓶商。2013年，公司与五家美国装瓶商宣布新的合</w:t>
      </w:r>
      <w:r>
        <w:lastRenderedPageBreak/>
        <w:t>作安排，随后逐步落地：将相邻经营区域交给这些装瓶商，转让配送资产和冷饮设备，并通过新的饮料协议、信息系统和供应安排组织合作。最初的方案仍由CCR保留生产资产。因此，再特许经营最早是先调整地方销售与配送，随后才进一步转移生产环节。</w:t>
      </w:r>
    </w:p>
    <w:p w14:paraId="1A06D6DF" w14:textId="1914DBC2" w:rsidR="00C27B1D" w:rsidRDefault="00C27B1D" w:rsidP="00C27B1D">
      <w:pPr>
        <w:ind w:left="420"/>
      </w:pPr>
      <w:r>
        <w:t>2016年，转让范围扩大至冷灌装生产设施。公司宣布加速再特许经营，计划连同剩余冷灌装工厂一起转交装瓶商。这些工厂生产可口可乐、雪碧及Dasani等产品。但</w:t>
      </w:r>
      <w:r w:rsidRPr="00873FC7">
        <w:rPr>
          <w:b/>
          <w:bCs/>
        </w:rPr>
        <w:t>公司同时明确，保留热灌装和糖浆生产</w:t>
      </w:r>
      <w:r>
        <w:t>，当时包括Powerade、Minute Maid等产品对应的热灌装设施。这一步已经说明，</w:t>
      </w:r>
      <w:r w:rsidRPr="00DF781F">
        <w:rPr>
          <w:b/>
          <w:bCs/>
        </w:rPr>
        <w:t>再特许经营并不意味着KO退出所有饮料制造</w:t>
      </w:r>
      <w:r>
        <w:t>。</w:t>
      </w:r>
    </w:p>
    <w:p w14:paraId="136DD9CB" w14:textId="53BC5905" w:rsidR="00C27B1D" w:rsidRDefault="00C27B1D" w:rsidP="00C27B1D">
      <w:pPr>
        <w:ind w:left="420"/>
      </w:pPr>
      <w:r>
        <w:t>2017年，美国大规模装瓶业务再特许经营完成。此后，美国传统装瓶体系主要由近70家独立装瓶商运营。整个过程形成的分工是：KO负责品牌、产品及体系协调，独立装瓶商承担大量地方生产、配送和终端执行，同时KO保留部分专业化生产与销售业务。</w:t>
      </w:r>
    </w:p>
    <w:p w14:paraId="2DC23F56" w14:textId="7848FDBC" w:rsidR="002C4914" w:rsidRDefault="00C27B1D" w:rsidP="00C27B1D">
      <w:pPr>
        <w:ind w:left="420"/>
      </w:pPr>
      <w:r>
        <w:t>从经营逻辑看，2010年主要解决供应链和客户服务的整合问题，随后则通过重新划分区域、合同和生产分工，将全国协调与地方执行结合起来。因而，这段历史不能只理解为一次资产出售，它也重建了KO与美国装瓶商的合作方式。</w:t>
      </w:r>
    </w:p>
    <w:p w14:paraId="32895218" w14:textId="77777777" w:rsidR="00E756C4" w:rsidRDefault="00E756C4" w:rsidP="00C27B1D">
      <w:pPr>
        <w:ind w:left="420"/>
      </w:pPr>
    </w:p>
    <w:p w14:paraId="6174907D" w14:textId="1946283E" w:rsidR="00092043" w:rsidRDefault="00E756C4" w:rsidP="007314E8">
      <w:r w:rsidRPr="00E756C4">
        <w:t>当前美国成品收入主要应结合非装瓶成品业务、现调饮料糖浆等业务理解，不能视为当年大规模自有装瓶体系的延续。“非装瓶”描述的是经营安排，并不意味着产品没有瓶装包装，也不意味着公司不参与制造。</w:t>
      </w:r>
    </w:p>
    <w:p w14:paraId="1413B9BF" w14:textId="2D473CD6" w:rsidR="00567CCE" w:rsidRDefault="00567CCE" w:rsidP="00567CCE">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18</w:t>
      </w:r>
      <w:r>
        <w:fldChar w:fldCharType="end"/>
      </w:r>
      <w:r>
        <w:rPr>
          <w:rFonts w:hint="eastAsia"/>
        </w:rPr>
        <w:t>：</w:t>
      </w:r>
      <w:r w:rsidRPr="00F1578A">
        <w:t>美国浓缩液与成品业务结构</w:t>
      </w:r>
    </w:p>
    <w:p w14:paraId="4A784ADA" w14:textId="33735E3F" w:rsidR="007314E8" w:rsidRDefault="00567CCE" w:rsidP="007314E8">
      <w:r w:rsidRPr="00567CCE">
        <w:rPr>
          <w:noProof/>
        </w:rPr>
        <w:drawing>
          <wp:inline distT="0" distB="0" distL="0" distR="0" wp14:anchorId="0C13DFBA" wp14:editId="58A8BFCA">
            <wp:extent cx="6256867" cy="3897838"/>
            <wp:effectExtent l="0" t="0" r="4445" b="1270"/>
            <wp:docPr id="195869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9320" name=""/>
                    <pic:cNvPicPr/>
                  </pic:nvPicPr>
                  <pic:blipFill>
                    <a:blip r:embed="rId34"/>
                    <a:stretch>
                      <a:fillRect/>
                    </a:stretch>
                  </pic:blipFill>
                  <pic:spPr>
                    <a:xfrm>
                      <a:off x="0" y="0"/>
                      <a:ext cx="6269931" cy="3905976"/>
                    </a:xfrm>
                    <a:prstGeom prst="rect">
                      <a:avLst/>
                    </a:prstGeom>
                  </pic:spPr>
                </pic:pic>
              </a:graphicData>
            </a:graphic>
          </wp:inline>
        </w:drawing>
      </w:r>
    </w:p>
    <w:p w14:paraId="4AECFCB6" w14:textId="67466669" w:rsidR="00EC7011" w:rsidRDefault="00EC7011" w:rsidP="00EC7011">
      <w:r>
        <w:t>FY2018—FY2023，美国浓缩液收入从4,571百万美元增至8,780百万美元，接近翻倍；成品收入则从6,773百万美元增至7,770百万美元。</w:t>
      </w:r>
      <w:r w:rsidRPr="00EC7011">
        <w:rPr>
          <w:b/>
          <w:bCs/>
        </w:rPr>
        <w:t>浓缩液业务在这一阶段扩张更快</w:t>
      </w:r>
      <w:r>
        <w:t>，成品收入占比从59.7%降至46.9%。</w:t>
      </w:r>
    </w:p>
    <w:p w14:paraId="00A7A272" w14:textId="77777777" w:rsidR="00EC7011" w:rsidRDefault="00EC7011" w:rsidP="00EC7011">
      <w:r>
        <w:t>FY2024—FY2025，</w:t>
      </w:r>
      <w:r w:rsidRPr="008A5959">
        <w:rPr>
          <w:b/>
          <w:bCs/>
        </w:rPr>
        <w:t>增长来源明显转向成品业务</w:t>
      </w:r>
      <w:r>
        <w:t>。两年间，美国收入合计增加2,577百万美元，其中成品增加2,401百万美元，贡献约93%的增量；浓缩液收入仅增加176百万美元。成品收入占比因此回升至53.2%。</w:t>
      </w:r>
      <w:r>
        <w:lastRenderedPageBreak/>
        <w:t>FY2025美国收入增速由10.9%降至4.2%，也主要对应成品收入增速从22.9%回落至6.5%。</w:t>
      </w:r>
    </w:p>
    <w:p w14:paraId="3A0F981A" w14:textId="0235364C" w:rsidR="00EC7011" w:rsidRDefault="00EC7011" w:rsidP="00EC7011">
      <w:r w:rsidRPr="00AF3A87">
        <w:rPr>
          <w:b/>
          <w:bCs/>
        </w:rPr>
        <w:t>这轮成品增长主要应从既有业务的经营表现寻找解释</w:t>
      </w:r>
      <w:r>
        <w:t>。公司这两年披露的北美收入增长归因，未显示收购出售带来实质性增长贡献。</w:t>
      </w:r>
    </w:p>
    <w:p w14:paraId="034AE921" w14:textId="205A3463" w:rsidR="00EC7011" w:rsidRDefault="00EC7011" w:rsidP="00EC7011">
      <w:r>
        <w:t>管理层在2024Q2业绩会上进一步说明，北美同时经营公司直接参与程度较高的业务和特许经营浓缩液业务，</w:t>
      </w:r>
      <w:proofErr w:type="spellStart"/>
      <w:r>
        <w:t>fairlife</w:t>
      </w:r>
      <w:proofErr w:type="spellEnd"/>
      <w:r>
        <w:t>、果汁和Topo Chico等业务增长，会改变公司确认收入的业务组合。这为理解美国成品业务较快增长提供了经营线索，但公司没有披露足以将美国成品收入增量逐一分配到各品牌的完整数据，不能把全部增量归给</w:t>
      </w:r>
      <w:proofErr w:type="spellStart"/>
      <w:r>
        <w:t>fairlife</w:t>
      </w:r>
      <w:proofErr w:type="spellEnd"/>
      <w:r>
        <w:t>。</w:t>
      </w:r>
    </w:p>
    <w:p w14:paraId="0B80B7BF" w14:textId="56A71A80" w:rsidR="001B220C" w:rsidRPr="00092043" w:rsidRDefault="00EC7011" w:rsidP="00EC7011">
      <w:r>
        <w:t>2026年上半年，美国成品收入增长10.2%，继续快于浓缩液的7.4%，贡献500百万美元收入增量。不过，浓缩液业务也已恢复较明显增长。</w:t>
      </w:r>
    </w:p>
    <w:p w14:paraId="4A212DAF" w14:textId="77777777" w:rsidR="001B220C" w:rsidRDefault="001B220C" w:rsidP="007C0161"/>
    <w:p w14:paraId="69A55E56" w14:textId="10A47FD7" w:rsidR="00F84126" w:rsidRPr="00283618" w:rsidRDefault="0002792D" w:rsidP="00BF35B0">
      <w:pPr>
        <w:pStyle w:val="a9"/>
        <w:numPr>
          <w:ilvl w:val="0"/>
          <w:numId w:val="14"/>
        </w:numPr>
        <w:rPr>
          <w:b/>
          <w:bCs/>
        </w:rPr>
      </w:pPr>
      <w:r w:rsidRPr="0002792D">
        <w:rPr>
          <w:b/>
          <w:bCs/>
        </w:rPr>
        <w:t>国际</w:t>
      </w:r>
      <w:r w:rsidR="00505053">
        <w:rPr>
          <w:rFonts w:hint="eastAsia"/>
          <w:b/>
          <w:bCs/>
        </w:rPr>
        <w:t>业务</w:t>
      </w:r>
    </w:p>
    <w:p w14:paraId="3747A426" w14:textId="0D5CBE61" w:rsidR="00283618" w:rsidRDefault="00283618" w:rsidP="00283618">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19</w:t>
      </w:r>
      <w:r>
        <w:fldChar w:fldCharType="end"/>
      </w:r>
      <w:r>
        <w:rPr>
          <w:rFonts w:hint="eastAsia"/>
        </w:rPr>
        <w:t>：</w:t>
      </w:r>
      <w:r w:rsidRPr="002F730A">
        <w:t>国际浓缩液与成品业务结构</w:t>
      </w:r>
    </w:p>
    <w:p w14:paraId="0A778249" w14:textId="4C9C4E27" w:rsidR="00283618" w:rsidRDefault="00283618" w:rsidP="00BF35B0">
      <w:r w:rsidRPr="00283618">
        <w:rPr>
          <w:noProof/>
        </w:rPr>
        <w:drawing>
          <wp:inline distT="0" distB="0" distL="0" distR="0" wp14:anchorId="236F132C" wp14:editId="5F025FF3">
            <wp:extent cx="5901267" cy="3732695"/>
            <wp:effectExtent l="0" t="0" r="4445" b="1270"/>
            <wp:docPr id="1312067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7814" name=""/>
                    <pic:cNvPicPr/>
                  </pic:nvPicPr>
                  <pic:blipFill>
                    <a:blip r:embed="rId35"/>
                    <a:stretch>
                      <a:fillRect/>
                    </a:stretch>
                  </pic:blipFill>
                  <pic:spPr>
                    <a:xfrm>
                      <a:off x="0" y="0"/>
                      <a:ext cx="5920306" cy="3744738"/>
                    </a:xfrm>
                    <a:prstGeom prst="rect">
                      <a:avLst/>
                    </a:prstGeom>
                  </pic:spPr>
                </pic:pic>
              </a:graphicData>
            </a:graphic>
          </wp:inline>
        </w:drawing>
      </w:r>
    </w:p>
    <w:p w14:paraId="0B616F6A" w14:textId="77777777" w:rsidR="000762CC" w:rsidRDefault="000762CC" w:rsidP="000762CC">
      <w:r>
        <w:t>国际收入的业务结构与美国不同。</w:t>
      </w:r>
      <w:r w:rsidRPr="000762CC">
        <w:rPr>
          <w:b/>
          <w:bCs/>
        </w:rPr>
        <w:t>国际成品业务既包含公司合并的装瓶业务，也包含非装瓶成品业务及Costa门店等业务</w:t>
      </w:r>
      <w:r>
        <w:t>，其变化更</w:t>
      </w:r>
      <w:r w:rsidRPr="000762CC">
        <w:rPr>
          <w:b/>
          <w:bCs/>
        </w:rPr>
        <w:t>容易受到装瓶资产买卖和合并范围调整的影响</w:t>
      </w:r>
      <w:r>
        <w:t>。</w:t>
      </w:r>
    </w:p>
    <w:p w14:paraId="33FBE46A" w14:textId="77777777" w:rsidR="000762CC" w:rsidRDefault="000762CC" w:rsidP="000762CC">
      <w:r>
        <w:t>FY2019，国际成品收入增长35.0%，而浓缩液收入下降0.5%。Costa等业务并表，使国际收入增长主要来自成品业务扩大。疫情冲击后，两类业务在FY2021—FY2022共同恢复；FY2023成品收入仍增长2.0%，但已明显慢于浓缩液业务的8.5%。</w:t>
      </w:r>
    </w:p>
    <w:p w14:paraId="6176851B" w14:textId="77777777" w:rsidR="000762CC" w:rsidRDefault="000762CC" w:rsidP="000762CC">
      <w:r w:rsidRPr="0078776A">
        <w:rPr>
          <w:b/>
          <w:bCs/>
        </w:rPr>
        <w:t>真正的成品收入收缩发生在FY2024—FY2025</w:t>
      </w:r>
      <w:r>
        <w:t>。两年间，国际成品收入减少2,137百万美元，累计下降18.7%；浓缩液收入增加1,747百万美元，累计增长9.8%。浓缩液增长抵消了大部分成品收入下降，但仍不足以使国际收入超过FY2023水平。</w:t>
      </w:r>
    </w:p>
    <w:p w14:paraId="1ADD4B68" w14:textId="3172D865" w:rsidR="000762CC" w:rsidRDefault="000762CC" w:rsidP="000762CC">
      <w:r w:rsidRPr="007B0E33">
        <w:rPr>
          <w:b/>
          <w:bCs/>
        </w:rPr>
        <w:t>连续出售业务</w:t>
      </w:r>
      <w:r>
        <w:t>是这一变化的重要背景。公司在2023年完成越南装瓶业务再特许经营，2024年出售菲律宾、</w:t>
      </w:r>
      <w:r>
        <w:lastRenderedPageBreak/>
        <w:t>孟加拉国及部分印度地区的装瓶业务，2025年继续出售部分印度装瓶业务，并完成尼日利亚成品业务出售。</w:t>
      </w:r>
    </w:p>
    <w:p w14:paraId="36A28C27" w14:textId="77777777" w:rsidR="000762CC" w:rsidRDefault="000762CC" w:rsidP="000762CC">
      <w:r>
        <w:t>其中，</w:t>
      </w:r>
      <w:r w:rsidRPr="00F26894">
        <w:rPr>
          <w:b/>
          <w:bCs/>
        </w:rPr>
        <w:t>装瓶业务再特许经营延续了此前美国调整经营模式的方向</w:t>
      </w:r>
      <w:r>
        <w:t>：下游装瓶资产转由合作伙伴经营，公司继续参与品牌、浓缩液供应和体系管理。相关成品收入退出合并报表，并不等于退出当地饮料市场。但尼日利亚成品业务出售还涉及品牌业务处置，不能与装瓶再特许经营完全等同；国际成品收入下降也同时包含汇率和经营表现的影响，不能全部归因于出售。</w:t>
      </w:r>
    </w:p>
    <w:p w14:paraId="14E796ED" w14:textId="77777777" w:rsidR="000762CC" w:rsidRPr="00780EE4" w:rsidRDefault="000762CC" w:rsidP="000762CC">
      <w:pPr>
        <w:rPr>
          <w:b/>
          <w:bCs/>
        </w:rPr>
      </w:pPr>
      <w:r w:rsidRPr="00780EE4">
        <w:rPr>
          <w:b/>
          <w:bCs/>
        </w:rPr>
        <w:t>由此可见，美国成品增长、国际成品收缩，主要反映两地现有业务组合及资产调整阶段不同</w:t>
      </w:r>
      <w:r w:rsidRPr="00371F67">
        <w:t>，不能据此概括为公司在美国统一扩大制造、在国际统一退出成品业务。</w:t>
      </w:r>
    </w:p>
    <w:p w14:paraId="6562D5F6" w14:textId="1395C503" w:rsidR="00283618" w:rsidRDefault="000762CC" w:rsidP="000762CC">
      <w:r>
        <w:t>2026年上半年，国际浓缩液与成品收入分别增长10.1%和8.1%，成品业务不再延续FY2024—FY2025的收入下降。不过，待出售装瓶业务在实际失去控制权前仍会纳入合并报表。截至2026Q2，非洲装瓶业务交易尚未完成，因此当期成品收入增长与后续合并范围收缩可以同时存在。</w:t>
      </w:r>
    </w:p>
    <w:p w14:paraId="046B36B8" w14:textId="77777777" w:rsidR="008F3E4B" w:rsidRDefault="008F3E4B" w:rsidP="00BF35B0"/>
    <w:p w14:paraId="19463F36" w14:textId="604AA65A" w:rsidR="00D1764D" w:rsidRPr="00A1285D" w:rsidRDefault="00A1285D" w:rsidP="00A1285D">
      <w:pPr>
        <w:pStyle w:val="a9"/>
        <w:numPr>
          <w:ilvl w:val="0"/>
          <w:numId w:val="17"/>
        </w:numPr>
        <w:rPr>
          <w:b/>
          <w:bCs/>
        </w:rPr>
      </w:pPr>
      <w:r w:rsidRPr="00A1285D">
        <w:rPr>
          <w:rFonts w:hint="eastAsia"/>
          <w:b/>
          <w:bCs/>
        </w:rPr>
        <w:t>财务分部</w:t>
      </w:r>
    </w:p>
    <w:p w14:paraId="6E5BC508" w14:textId="26838E96" w:rsidR="00A1285D" w:rsidRDefault="009E7889" w:rsidP="00BF35B0">
      <w:r w:rsidRPr="009E7889">
        <w:t>上述美国／国际分类，与北美、EMEA、拉美、亚太等财务分部属于不同的观察维度。北美不等于美国；装瓶投资分部按合并装瓶业务归集，也不代表全部成品业务。</w:t>
      </w:r>
    </w:p>
    <w:p w14:paraId="67126A8F" w14:textId="12B76DC9" w:rsidR="00DC01C3" w:rsidRDefault="00DC01C3" w:rsidP="00DC01C3">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20</w:t>
      </w:r>
      <w:r>
        <w:fldChar w:fldCharType="end"/>
      </w:r>
      <w:r>
        <w:rPr>
          <w:rFonts w:hint="eastAsia"/>
        </w:rPr>
        <w:t>：</w:t>
      </w:r>
      <w:r>
        <w:rPr>
          <w:rFonts w:hint="eastAsia"/>
        </w:rPr>
        <w:t>FY16-20</w:t>
      </w:r>
      <w:r>
        <w:rPr>
          <w:rFonts w:hint="eastAsia"/>
        </w:rPr>
        <w:t>分部收入</w:t>
      </w:r>
    </w:p>
    <w:p w14:paraId="6C52D774" w14:textId="708E8795" w:rsidR="00A1285D" w:rsidRDefault="00DC01C3" w:rsidP="00BF35B0">
      <w:r w:rsidRPr="00DC01C3">
        <w:rPr>
          <w:noProof/>
        </w:rPr>
        <w:drawing>
          <wp:inline distT="0" distB="0" distL="0" distR="0" wp14:anchorId="26F449FA" wp14:editId="2A88265D">
            <wp:extent cx="6645910" cy="2247900"/>
            <wp:effectExtent l="0" t="0" r="0" b="0"/>
            <wp:docPr id="996478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78225" name=""/>
                    <pic:cNvPicPr/>
                  </pic:nvPicPr>
                  <pic:blipFill>
                    <a:blip r:embed="rId36"/>
                    <a:stretch>
                      <a:fillRect/>
                    </a:stretch>
                  </pic:blipFill>
                  <pic:spPr>
                    <a:xfrm>
                      <a:off x="0" y="0"/>
                      <a:ext cx="6645910" cy="2247900"/>
                    </a:xfrm>
                    <a:prstGeom prst="rect">
                      <a:avLst/>
                    </a:prstGeom>
                  </pic:spPr>
                </pic:pic>
              </a:graphicData>
            </a:graphic>
          </wp:inline>
        </w:drawing>
      </w:r>
    </w:p>
    <w:p w14:paraId="1489E0C2" w14:textId="70B1DD1A" w:rsidR="00A1285D" w:rsidRDefault="00DC01C3" w:rsidP="00BF35B0">
      <w:r w:rsidRPr="00DC01C3">
        <w:t>早期装瓶投资业务在合并收入中占有很高权重，FY2016达到46.8%。再特许经营推进后，装瓶投资收入明显下降，但北美分部对外收入反而可能增加：原本纳入集团的装瓶业务出售后，向独立装瓶商销售的相关收入转为对外收入。这有助于理解为什么FY2018美国整体收入下降23.0%，北美分部对外收入却增长31.0%。</w:t>
      </w:r>
    </w:p>
    <w:p w14:paraId="7C31DABD" w14:textId="5C84BA80" w:rsidR="003910B1" w:rsidRDefault="003910B1" w:rsidP="003910B1">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21</w:t>
      </w:r>
      <w:r>
        <w:fldChar w:fldCharType="end"/>
      </w:r>
      <w:r>
        <w:rPr>
          <w:rFonts w:hint="eastAsia"/>
        </w:rPr>
        <w:t>：</w:t>
      </w:r>
      <w:r>
        <w:rPr>
          <w:rFonts w:hint="eastAsia"/>
        </w:rPr>
        <w:t>FY21-FY24</w:t>
      </w:r>
      <w:r>
        <w:rPr>
          <w:rFonts w:hint="eastAsia"/>
        </w:rPr>
        <w:t>分部收入</w:t>
      </w:r>
    </w:p>
    <w:p w14:paraId="394ADBA6" w14:textId="4DAB2020" w:rsidR="00A1285D" w:rsidRDefault="003910B1" w:rsidP="00BF35B0">
      <w:r w:rsidRPr="003910B1">
        <w:rPr>
          <w:noProof/>
        </w:rPr>
        <w:drawing>
          <wp:inline distT="0" distB="0" distL="0" distR="0" wp14:anchorId="38FC4038" wp14:editId="03D75CCD">
            <wp:extent cx="6645910" cy="2583815"/>
            <wp:effectExtent l="0" t="0" r="0" b="0"/>
            <wp:docPr id="394234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4082" name=""/>
                    <pic:cNvPicPr/>
                  </pic:nvPicPr>
                  <pic:blipFill>
                    <a:blip r:embed="rId37"/>
                    <a:stretch>
                      <a:fillRect/>
                    </a:stretch>
                  </pic:blipFill>
                  <pic:spPr>
                    <a:xfrm>
                      <a:off x="0" y="0"/>
                      <a:ext cx="6645910" cy="2583815"/>
                    </a:xfrm>
                    <a:prstGeom prst="rect">
                      <a:avLst/>
                    </a:prstGeom>
                  </pic:spPr>
                </pic:pic>
              </a:graphicData>
            </a:graphic>
          </wp:inline>
        </w:drawing>
      </w:r>
    </w:p>
    <w:p w14:paraId="23F92C48" w14:textId="77777777" w:rsidR="00046FFB" w:rsidRDefault="00046FFB" w:rsidP="00046FFB">
      <w:r>
        <w:t>FY2021，各主要分部均恢复增长，Global Ventures反弹尤其明显。此后，地域差异逐步扩大：拉美FY2022—FY2024连续保持两位数收入增长；北美也持续扩张；亚太在FY2022—FY2023增长较弱，FY2024有所加快；EMEA则在FY2024明显放缓。装瓶投资收入在FY2023开始下降，FY2024降幅扩大至20.8%，与国际装瓶资产出售的方向一致。</w:t>
      </w:r>
    </w:p>
    <w:p w14:paraId="31FDEE79" w14:textId="29248FBD" w:rsidR="00A1285D" w:rsidRDefault="00046FFB" w:rsidP="00046FFB">
      <w:r>
        <w:t>FY2017—FY2024，在上述历史分类内，北美占合并收入的比重从24.0%升至39.6%，装瓶投资则从31.0%降至13.2%。这既包含各市场的经营差异，也体现了公司逐步减少直接持有装瓶业务所带来的收入结构变化。</w:t>
      </w:r>
    </w:p>
    <w:p w14:paraId="65B0ADD6" w14:textId="7DF37E98" w:rsidR="008706BB" w:rsidRDefault="008706BB" w:rsidP="008706BB">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22</w:t>
      </w:r>
      <w:r>
        <w:fldChar w:fldCharType="end"/>
      </w:r>
      <w:r>
        <w:rPr>
          <w:rFonts w:hint="eastAsia"/>
        </w:rPr>
        <w:t>：</w:t>
      </w:r>
      <w:r>
        <w:rPr>
          <w:rFonts w:hint="eastAsia"/>
        </w:rPr>
        <w:t>FY23-FY25</w:t>
      </w:r>
      <w:r>
        <w:rPr>
          <w:rFonts w:hint="eastAsia"/>
        </w:rPr>
        <w:t>分部收入</w:t>
      </w:r>
    </w:p>
    <w:p w14:paraId="3DD21BBC" w14:textId="261E3141" w:rsidR="00D1764D" w:rsidRDefault="008706BB" w:rsidP="00BF35B0">
      <w:r w:rsidRPr="008706BB">
        <w:rPr>
          <w:noProof/>
        </w:rPr>
        <w:drawing>
          <wp:inline distT="0" distB="0" distL="0" distR="0" wp14:anchorId="6F545278" wp14:editId="56604CCB">
            <wp:extent cx="6028267" cy="2588480"/>
            <wp:effectExtent l="0" t="0" r="4445" b="2540"/>
            <wp:docPr id="1553616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6655" name=""/>
                    <pic:cNvPicPr/>
                  </pic:nvPicPr>
                  <pic:blipFill>
                    <a:blip r:embed="rId38"/>
                    <a:stretch>
                      <a:fillRect/>
                    </a:stretch>
                  </pic:blipFill>
                  <pic:spPr>
                    <a:xfrm>
                      <a:off x="0" y="0"/>
                      <a:ext cx="6044619" cy="2595502"/>
                    </a:xfrm>
                    <a:prstGeom prst="rect">
                      <a:avLst/>
                    </a:prstGeom>
                  </pic:spPr>
                </pic:pic>
              </a:graphicData>
            </a:graphic>
          </wp:inline>
        </w:drawing>
      </w:r>
    </w:p>
    <w:p w14:paraId="43A62BA7" w14:textId="77777777" w:rsidR="0087340B" w:rsidRDefault="0087340B" w:rsidP="0087340B">
      <w:r>
        <w:t>在可比分类下，FY2025北美与EMEA分别增加收入719百万美元和555百万美元，是当年最主要的正向贡献来源；亚太增加201百万美元。拉美减少140百万美元，装瓶投资减少489百万美元，抵消了部分增长。</w:t>
      </w:r>
    </w:p>
    <w:p w14:paraId="4A09D4A7" w14:textId="38D2D9D6" w:rsidR="00A3252C" w:rsidRDefault="0087340B" w:rsidP="00BF35B0">
      <w:r>
        <w:t>这也说明，国际总收入增长仅0.4%，并不意味着国际业务普遍停滞。国际范围内既有增长的业务，也有收入下降和退出合并范围的业务，最终加总后才形成接近持平的结果。同时，EMEA包含Costa非即饮等成品业务，不能将其整体视为纯浓缩液业务。</w:t>
      </w:r>
    </w:p>
    <w:p w14:paraId="1C9A5574" w14:textId="63877634" w:rsidR="00E8043D" w:rsidRDefault="00E8043D" w:rsidP="00E8043D">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23</w:t>
      </w:r>
      <w:r>
        <w:fldChar w:fldCharType="end"/>
      </w:r>
      <w:r>
        <w:rPr>
          <w:rFonts w:hint="eastAsia"/>
        </w:rPr>
        <w:t>：近期分部收入</w:t>
      </w:r>
    </w:p>
    <w:p w14:paraId="24D172BF" w14:textId="6E2230E7" w:rsidR="00A3252C" w:rsidRDefault="00E8043D" w:rsidP="00BF35B0">
      <w:r w:rsidRPr="00E8043D">
        <w:rPr>
          <w:noProof/>
        </w:rPr>
        <w:drawing>
          <wp:inline distT="0" distB="0" distL="0" distR="0" wp14:anchorId="30BAFC24" wp14:editId="76A98E53">
            <wp:extent cx="5926667" cy="2593554"/>
            <wp:effectExtent l="0" t="0" r="4445" b="0"/>
            <wp:docPr id="1929766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6096" name=""/>
                    <pic:cNvPicPr/>
                  </pic:nvPicPr>
                  <pic:blipFill>
                    <a:blip r:embed="rId39"/>
                    <a:stretch>
                      <a:fillRect/>
                    </a:stretch>
                  </pic:blipFill>
                  <pic:spPr>
                    <a:xfrm>
                      <a:off x="0" y="0"/>
                      <a:ext cx="5949607" cy="2603593"/>
                    </a:xfrm>
                    <a:prstGeom prst="rect">
                      <a:avLst/>
                    </a:prstGeom>
                  </pic:spPr>
                </pic:pic>
              </a:graphicData>
            </a:graphic>
          </wp:inline>
        </w:drawing>
      </w:r>
    </w:p>
    <w:p w14:paraId="5F2DF46A" w14:textId="6E5FFF01" w:rsidR="006D240B" w:rsidRDefault="006D240B" w:rsidP="006D240B">
      <w:r>
        <w:rPr>
          <w:rFonts w:hint="eastAsia"/>
        </w:rPr>
        <w:t>2</w:t>
      </w:r>
      <w:r>
        <w:t>026年上半年，各主要分部均实现收入增长。其中，北美增加909百万美元，贡献约42%的合并收入增量；拉美增长14.8%，由FY2025的收入下降转为较快增长。EMEA和亚太也实现增长，但第二季度增速明显低于第一季度，近期表现仍有差异。</w:t>
      </w:r>
    </w:p>
    <w:p w14:paraId="6FEED2AE" w14:textId="73C6C105" w:rsidR="00A3252C" w:rsidRDefault="006D240B" w:rsidP="00BF35B0">
      <w:r>
        <w:t>装瓶投资收入恢复增长，说明保留在合并范围内的装瓶业务收入正在增加，并不意味着公司已经改变再特许经营方向。其经营表现与资产出售进度需要分别观察。</w:t>
      </w:r>
    </w:p>
    <w:p w14:paraId="21D65F69" w14:textId="77777777" w:rsidR="0066733F" w:rsidRDefault="0066733F" w:rsidP="00BF35B0"/>
    <w:p w14:paraId="21D85F64" w14:textId="09EB2C71" w:rsidR="000E0B71" w:rsidRDefault="000258A4" w:rsidP="00324157">
      <w:pPr>
        <w:pStyle w:val="4"/>
      </w:pPr>
      <w:r>
        <w:t>收</w:t>
      </w:r>
      <w:r w:rsidR="00891F7B">
        <w:rPr>
          <w:rFonts w:hint="eastAsia"/>
        </w:rPr>
        <w:t>入</w:t>
      </w:r>
      <w:r>
        <w:t>增长归因</w:t>
      </w:r>
    </w:p>
    <w:p w14:paraId="23F1EF95" w14:textId="717AE0B8" w:rsidR="0093083F" w:rsidRDefault="00964089" w:rsidP="00BF35B0">
      <w:r w:rsidRPr="00964089">
        <w:t>公司在10-K中将收入变化主要拆为四项：销量、价格／组合、汇率、收购出售；FY2018还单独列示了采用新收入准则的影响。</w:t>
      </w:r>
    </w:p>
    <w:p w14:paraId="524F1278" w14:textId="287EB1B2" w:rsidR="0093083F" w:rsidRDefault="00AD571D" w:rsidP="00BF35B0">
      <w:r w:rsidRPr="00AD571D">
        <w:t>其中，地理分部的销量贡献主要依据经过收购出售等调整的浓缩液销售量，装瓶投资分部则依据经过结构调整的体系销售量。因此，归因表中的“销量影响”不能直接照搬前文未经调整的销量增速。季度分析还要注意，浓缩液销售量按报告期实际销售计算，而体系销售量增长通常采用日均口径。</w:t>
      </w:r>
    </w:p>
    <w:p w14:paraId="28176D2D" w14:textId="51B7B02F" w:rsidR="0093083F" w:rsidRPr="00964089" w:rsidRDefault="00122B51" w:rsidP="00BF35B0">
      <w:r w:rsidRPr="00122B51">
        <w:t>“价格／组合”包含公司及适用情况下装瓶商的提价，也包含品类、产品、包装、渠道和地域组合变化。公司计算时，将收入变化中由销量、汇率和收购出售解释的部分扣除，再确定价格／组合的影响。它反映的是这些因素的综合结果，并不是单独跟踪每件产品售价后得到的纯价格指数。</w:t>
      </w:r>
    </w:p>
    <w:p w14:paraId="6FEB0F46" w14:textId="2D97C963" w:rsidR="0093083F" w:rsidRPr="00122B51" w:rsidRDefault="009D43B0" w:rsidP="00BF35B0">
      <w:r w:rsidRPr="009D43B0">
        <w:t>分部归因还有一个重要口径：公司通常按包含内部销售的分部总收入解释增长；上一节为分析收入结构，采用的是分部对外收入。</w:t>
      </w:r>
    </w:p>
    <w:p w14:paraId="7D01B219" w14:textId="77777777" w:rsidR="00964089" w:rsidRPr="00964089" w:rsidRDefault="00964089" w:rsidP="00964089"/>
    <w:p w14:paraId="451A5F65" w14:textId="3C461F7A" w:rsidR="00964089" w:rsidRPr="00B1419E" w:rsidRDefault="00B1419E" w:rsidP="00B1419E">
      <w:pPr>
        <w:pStyle w:val="a9"/>
        <w:numPr>
          <w:ilvl w:val="0"/>
          <w:numId w:val="17"/>
        </w:numPr>
        <w:rPr>
          <w:b/>
          <w:bCs/>
        </w:rPr>
      </w:pPr>
      <w:r w:rsidRPr="00B1419E">
        <w:rPr>
          <w:rFonts w:hint="eastAsia"/>
          <w:b/>
          <w:bCs/>
        </w:rPr>
        <w:t>全球历史</w:t>
      </w:r>
    </w:p>
    <w:p w14:paraId="75F99FF4" w14:textId="50FBE553" w:rsidR="005301BB" w:rsidRDefault="005301BB" w:rsidP="005301BB">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24</w:t>
      </w:r>
      <w:r>
        <w:fldChar w:fldCharType="end"/>
      </w:r>
      <w:r>
        <w:rPr>
          <w:rFonts w:hint="eastAsia"/>
        </w:rPr>
        <w:t>：合并收入归因</w:t>
      </w:r>
    </w:p>
    <w:p w14:paraId="1FCA7857" w14:textId="16E943CE" w:rsidR="00964089" w:rsidRDefault="005301BB" w:rsidP="00964089">
      <w:r w:rsidRPr="005301BB">
        <w:rPr>
          <w:noProof/>
        </w:rPr>
        <w:drawing>
          <wp:inline distT="0" distB="0" distL="0" distR="0" wp14:anchorId="0DDAF468" wp14:editId="26BDA881">
            <wp:extent cx="6645910" cy="2748280"/>
            <wp:effectExtent l="0" t="0" r="0" b="0"/>
            <wp:docPr id="2146900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0574" name=""/>
                    <pic:cNvPicPr/>
                  </pic:nvPicPr>
                  <pic:blipFill>
                    <a:blip r:embed="rId40"/>
                    <a:stretch>
                      <a:fillRect/>
                    </a:stretch>
                  </pic:blipFill>
                  <pic:spPr>
                    <a:xfrm>
                      <a:off x="0" y="0"/>
                      <a:ext cx="6645910" cy="2748280"/>
                    </a:xfrm>
                    <a:prstGeom prst="rect">
                      <a:avLst/>
                    </a:prstGeom>
                  </pic:spPr>
                </pic:pic>
              </a:graphicData>
            </a:graphic>
          </wp:inline>
        </w:drawing>
      </w:r>
    </w:p>
    <w:p w14:paraId="07469F9D" w14:textId="2F36F38D" w:rsidR="00076CB0" w:rsidRDefault="00076CB0" w:rsidP="00076CB0">
      <w:r>
        <w:t>FY2016—FY2018，报表收入下降主要由业务范围收缩造成。收购出售影响分别为</w:t>
      </w:r>
      <w:r>
        <w:rPr>
          <w:rFonts w:ascii="Cambria Math" w:hAnsi="Cambria Math" w:cs="Cambria Math"/>
        </w:rPr>
        <w:t>−</w:t>
      </w:r>
      <w:r>
        <w:t>6%、</w:t>
      </w:r>
      <w:r>
        <w:rPr>
          <w:rFonts w:ascii="Cambria Math" w:hAnsi="Cambria Math" w:cs="Cambria Math"/>
        </w:rPr>
        <w:t>−</w:t>
      </w:r>
      <w:r>
        <w:t>17%和</w:t>
      </w:r>
      <w:r>
        <w:rPr>
          <w:rFonts w:ascii="Cambria Math" w:hAnsi="Cambria Math" w:cs="Cambria Math"/>
        </w:rPr>
        <w:t>−</w:t>
      </w:r>
      <w:r>
        <w:t>11%，而同期有机收入仍分别增长3%、3%和5%。</w:t>
      </w:r>
    </w:p>
    <w:p w14:paraId="3B65F68B" w14:textId="71E7ABFA" w:rsidR="00076CB0" w:rsidRDefault="00076CB0" w:rsidP="00076CB0">
      <w:r>
        <w:t>FY2019，收购出售转为贡献7%，是报表收入增长的重要来源，主要背景包括Costa等业务并表；与此同时，价格／组合贡献5%，销量贡献1%，有机增长达到6%。</w:t>
      </w:r>
    </w:p>
    <w:p w14:paraId="51B0084A" w14:textId="721A9AEE" w:rsidR="00076CB0" w:rsidRDefault="00076CB0" w:rsidP="00076CB0">
      <w:r>
        <w:t>FY2020—FY2021，销量和渠道变化成为主导因素。FY2021，销量贡献转为9%，价格／组合贡献6%。年报明确指出，后者部分来自外出消费渠道和包装组合恢复，不能全部理解为提价。</w:t>
      </w:r>
    </w:p>
    <w:p w14:paraId="693AD7E5" w14:textId="01B69540" w:rsidR="00076CB0" w:rsidRDefault="00076CB0" w:rsidP="00076CB0">
      <w:r>
        <w:t>FY2022—FY2024，增长逐步转为价格／组合主导。销量贡献从FY2022的5%降至随后两年的2%，价格／组合则连续保持在10%—11%。公司因此仍能实现两位数有机增长，但报表收入增长受到汇率和业务出售压制。尤其FY2024，有机收入增长12%，报表收入仅增长3%。</w:t>
      </w:r>
    </w:p>
    <w:p w14:paraId="77B70721" w14:textId="028CE813" w:rsidR="004C3ACC" w:rsidRPr="004270BD" w:rsidRDefault="004C3ACC" w:rsidP="00076CB0">
      <w:r>
        <w:t>不过，FY2024的高价格／组合贡献本身包含特殊背景。公司披露，当年11%的价格／组合中，约5个百分点来自高通胀市场的定价，其余来自其他市场定价和有利组合。</w:t>
      </w:r>
    </w:p>
    <w:p w14:paraId="7DC678EE" w14:textId="45FCD330" w:rsidR="00A32FA0" w:rsidRPr="00D84E7A" w:rsidRDefault="00076CB0" w:rsidP="00A32FA0">
      <w:pPr>
        <w:rPr>
          <w:b/>
        </w:rPr>
      </w:pPr>
      <w:r>
        <w:t>FY2025，</w:t>
      </w:r>
      <w:r w:rsidR="00A32FA0" w:rsidRPr="00A32FA0">
        <w:t>价格／组合贡献回落，销量增长尚未补足</w:t>
      </w:r>
      <w:r w:rsidR="00A32FA0">
        <w:rPr>
          <w:rFonts w:hint="eastAsia"/>
        </w:rPr>
        <w:t>。</w:t>
      </w:r>
      <w:r w:rsidR="00A32FA0" w:rsidRPr="00A32FA0">
        <w:t>缺口</w:t>
      </w:r>
      <w:r>
        <w:t>增长放缓已经不只是汇率或业务出售造成。有机增长由12%降至5%，其中价格／组合贡献从11%降至4%，销量贡献也由2%降至1%。</w:t>
      </w:r>
    </w:p>
    <w:p w14:paraId="400A6127" w14:textId="77777777" w:rsidR="00964089" w:rsidRDefault="00964089" w:rsidP="00964089"/>
    <w:p w14:paraId="693DE5CA" w14:textId="531701BB" w:rsidR="00964089" w:rsidRPr="00F11480" w:rsidRDefault="00F11480" w:rsidP="00F11480">
      <w:pPr>
        <w:pStyle w:val="a9"/>
        <w:numPr>
          <w:ilvl w:val="0"/>
          <w:numId w:val="17"/>
        </w:numPr>
        <w:rPr>
          <w:b/>
          <w:bCs/>
        </w:rPr>
      </w:pPr>
      <w:r w:rsidRPr="00F11480">
        <w:rPr>
          <w:rFonts w:hint="eastAsia"/>
          <w:b/>
          <w:bCs/>
        </w:rPr>
        <w:t>分部历史</w:t>
      </w:r>
    </w:p>
    <w:p w14:paraId="6D0E1241" w14:textId="32C87B22" w:rsidR="00375723" w:rsidRDefault="00375723" w:rsidP="00375723">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25</w:t>
      </w:r>
      <w:r>
        <w:fldChar w:fldCharType="end"/>
      </w:r>
      <w:r>
        <w:rPr>
          <w:rFonts w:hint="eastAsia"/>
        </w:rPr>
        <w:t>：北美分部收入归因</w:t>
      </w:r>
    </w:p>
    <w:p w14:paraId="06A5614F" w14:textId="7394BB97" w:rsidR="00964089" w:rsidRDefault="00375723" w:rsidP="00964089">
      <w:r w:rsidRPr="00375723">
        <w:rPr>
          <w:noProof/>
        </w:rPr>
        <w:drawing>
          <wp:inline distT="0" distB="0" distL="0" distR="0" wp14:anchorId="2BED8F16" wp14:editId="2B652976">
            <wp:extent cx="6645910" cy="2774444"/>
            <wp:effectExtent l="0" t="0" r="0" b="0"/>
            <wp:docPr id="44057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9689" name="图片 1"/>
                    <pic:cNvPicPr/>
                  </pic:nvPicPr>
                  <pic:blipFill>
                    <a:blip r:embed="rId41">
                      <a:extLst>
                        <a:ext uri="{28A0092B-C50C-407E-A947-70E740481C1C}">
                          <a14:useLocalDpi xmlns:a14="http://schemas.microsoft.com/office/drawing/2010/main" val="0"/>
                        </a:ext>
                      </a:extLst>
                    </a:blip>
                    <a:stretch>
                      <a:fillRect/>
                    </a:stretch>
                  </pic:blipFill>
                  <pic:spPr>
                    <a:xfrm>
                      <a:off x="0" y="0"/>
                      <a:ext cx="6645910" cy="2774444"/>
                    </a:xfrm>
                    <a:prstGeom prst="rect">
                      <a:avLst/>
                    </a:prstGeom>
                  </pic:spPr>
                </pic:pic>
              </a:graphicData>
            </a:graphic>
          </wp:inline>
        </w:drawing>
      </w:r>
    </w:p>
    <w:p w14:paraId="246B0716" w14:textId="77777777" w:rsidR="00E572D9" w:rsidRDefault="00E572D9" w:rsidP="00E572D9">
      <w:r>
        <w:t>FY2016—FY2019，北美销量贡献较弱，收入增长主要依靠价格／组合及其他因素。尤其FY2018，分部总收入增长9%，但销量和价格／组合贡献均接近零，收入准则变化贡献11%，是理解当年增长不可忽略的因素。</w:t>
      </w:r>
    </w:p>
    <w:p w14:paraId="38FBAF69" w14:textId="6FE7C005" w:rsidR="00E572D9" w:rsidRDefault="00E572D9" w:rsidP="00E572D9">
      <w:r w:rsidRPr="00D52CE7">
        <w:rPr>
          <w:b/>
          <w:bCs/>
        </w:rPr>
        <w:t>新准则的调整包含将部分原本冲减收入的支出改列成本或销售管理费用，以及重新判断部分业务应按总额还是净额确认收入。</w:t>
      </w:r>
    </w:p>
    <w:p w14:paraId="2A850F82" w14:textId="77777777" w:rsidR="00E572D9" w:rsidRDefault="00E572D9" w:rsidP="00E572D9">
      <w:r>
        <w:t>FY2020，北美销量受到疫情冲击；FY2021，销量和价格／组合各贡献7%，体现恢复增长。FY2022以后，销量贡献重新降至低位，价格／组合成为更主要的驱动。FY2022还包含BODYARMOR并表等收购影响，收购出售贡献6%，不能把当年19%的报表增长全部归为原有业务增长。</w:t>
      </w:r>
    </w:p>
    <w:p w14:paraId="4DB0C930" w14:textId="16B1CE03" w:rsidR="00E572D9" w:rsidRDefault="00E572D9" w:rsidP="00E572D9">
      <w:r>
        <w:t>FY2023—FY2025，这一阶段北美收入增长的核心是定价以及产品、包装和业务组合变化。FY2025收入增长降至4%，与价格／组合贡献减弱和销量贡献转负相对应。</w:t>
      </w:r>
    </w:p>
    <w:p w14:paraId="1192CEE5" w14:textId="122323E9" w:rsidR="00964089" w:rsidRDefault="00E572D9" w:rsidP="00E572D9">
      <w:r>
        <w:t>北美的组合效应还与其经营方式有关。管理层在2024Q2业绩会上说明，北美同时经营公司直接参与程度较高的业务和特许经营浓缩液业务，</w:t>
      </w:r>
      <w:proofErr w:type="spellStart"/>
      <w:r>
        <w:t>fairlife</w:t>
      </w:r>
      <w:proofErr w:type="spellEnd"/>
      <w:r>
        <w:t>、果汁、Topo Chico等业务增长，会改变公司确认收入的组合。当季11%的价格／组合贡献中，管理层称大约一半来自价格、一半来自组合。这是特定季度的解释，不能推广为每年的固定比例，但足以说明北美价格／组合并非纯提价。</w:t>
      </w:r>
    </w:p>
    <w:p w14:paraId="07D5E46A" w14:textId="77777777" w:rsidR="0073323D" w:rsidRDefault="0073323D" w:rsidP="00E572D9"/>
    <w:p w14:paraId="025F9E38" w14:textId="70911BC9" w:rsidR="00856872" w:rsidRDefault="00856872" w:rsidP="00856872">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26</w:t>
      </w:r>
      <w:r>
        <w:fldChar w:fldCharType="end"/>
      </w:r>
      <w:r>
        <w:rPr>
          <w:rFonts w:hint="eastAsia"/>
        </w:rPr>
        <w:t>：</w:t>
      </w:r>
      <w:r>
        <w:rPr>
          <w:rFonts w:hint="eastAsia"/>
        </w:rPr>
        <w:t>EMEA</w:t>
      </w:r>
      <w:r>
        <w:rPr>
          <w:rFonts w:hint="eastAsia"/>
        </w:rPr>
        <w:t>分部收入归因</w:t>
      </w:r>
    </w:p>
    <w:p w14:paraId="73718C5C" w14:textId="1057F537" w:rsidR="00964089" w:rsidRPr="00964089" w:rsidRDefault="00856872" w:rsidP="00964089">
      <w:r w:rsidRPr="00856872">
        <w:rPr>
          <w:noProof/>
        </w:rPr>
        <w:drawing>
          <wp:inline distT="0" distB="0" distL="0" distR="0" wp14:anchorId="1966FCF3" wp14:editId="4F59D3AF">
            <wp:extent cx="6645910" cy="3303930"/>
            <wp:effectExtent l="0" t="0" r="0" b="0"/>
            <wp:docPr id="964392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2880" name="图片 1"/>
                    <pic:cNvPicPr/>
                  </pic:nvPicPr>
                  <pic:blipFill>
                    <a:blip r:embed="rId42">
                      <a:extLst>
                        <a:ext uri="{28A0092B-C50C-407E-A947-70E740481C1C}">
                          <a14:useLocalDpi xmlns:a14="http://schemas.microsoft.com/office/drawing/2010/main" val="0"/>
                        </a:ext>
                      </a:extLst>
                    </a:blip>
                    <a:stretch>
                      <a:fillRect/>
                    </a:stretch>
                  </pic:blipFill>
                  <pic:spPr>
                    <a:xfrm>
                      <a:off x="0" y="0"/>
                      <a:ext cx="6645910" cy="3303930"/>
                    </a:xfrm>
                    <a:prstGeom prst="rect">
                      <a:avLst/>
                    </a:prstGeom>
                  </pic:spPr>
                </pic:pic>
              </a:graphicData>
            </a:graphic>
          </wp:inline>
        </w:drawing>
      </w:r>
    </w:p>
    <w:p w14:paraId="24CE6EDF" w14:textId="77777777" w:rsidR="006C1B12" w:rsidRDefault="006C1B12" w:rsidP="006C1B12">
      <w:r>
        <w:t>EMEA的收入表现，长期受到经营增长与汇率变化的共同影响。FY2019，价格／组合贡献4%，但汇率拖累9%，最终报表收入下降1%。FY2020—FY2021则主要体现疫情冲击及恢复，销量和渠道组合先降后升。</w:t>
      </w:r>
    </w:p>
    <w:p w14:paraId="1E801B9C" w14:textId="0AF33FE2" w:rsidR="006C1B12" w:rsidRDefault="006C1B12" w:rsidP="006C1B12">
      <w:r>
        <w:t>FY2022—FY2024，在原分类下，价格／组合贡献达到16%—19%，但汇率每年拖累12%—16%，使较强的本地经营增长未能充分体现为美元收入增长。</w:t>
      </w:r>
    </w:p>
    <w:p w14:paraId="33AFE4CC" w14:textId="30E66CC9" w:rsidR="006C1B12" w:rsidRDefault="006C1B12" w:rsidP="006C1B12">
      <w:r>
        <w:t>按2025年调整后的分类，FY2024价格／组合贡献为13%，FY2025降至2%；与此同时，销量贡献由接近零提高至4%，汇率拖累也明显减轻。</w:t>
      </w:r>
    </w:p>
    <w:p w14:paraId="6622AC71" w14:textId="7DE937A1" w:rsidR="00964089" w:rsidRDefault="006C1B12" w:rsidP="006C1B12">
      <w:r>
        <w:t>需要注意，EMEA包含欧洲、中东、非洲，以及调整后纳入的Costa非即饮等业务，其内部差异较大。不能将整个分部的价格／组合变化都理解为欧洲市场提价。</w:t>
      </w:r>
    </w:p>
    <w:p w14:paraId="5B3E5107" w14:textId="77777777" w:rsidR="00964089" w:rsidRDefault="00964089" w:rsidP="00964089"/>
    <w:p w14:paraId="49724662" w14:textId="222FF395" w:rsidR="00E1359C" w:rsidRDefault="00E1359C" w:rsidP="00E1359C">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27</w:t>
      </w:r>
      <w:r>
        <w:fldChar w:fldCharType="end"/>
      </w:r>
      <w:r>
        <w:rPr>
          <w:rFonts w:hint="eastAsia"/>
        </w:rPr>
        <w:t>：拉美分部收入归因</w:t>
      </w:r>
    </w:p>
    <w:p w14:paraId="00B75B8E" w14:textId="5BF06D5E" w:rsidR="00964089" w:rsidRDefault="00E1359C" w:rsidP="00964089">
      <w:r w:rsidRPr="00E1359C">
        <w:rPr>
          <w:noProof/>
        </w:rPr>
        <w:drawing>
          <wp:inline distT="0" distB="0" distL="0" distR="0" wp14:anchorId="31A0A5B0" wp14:editId="327645E6">
            <wp:extent cx="6645910" cy="2751572"/>
            <wp:effectExtent l="0" t="0" r="0" b="4445"/>
            <wp:docPr id="2024364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4581" name="图片 1"/>
                    <pic:cNvPicPr/>
                  </pic:nvPicPr>
                  <pic:blipFill>
                    <a:blip r:embed="rId43">
                      <a:extLst>
                        <a:ext uri="{28A0092B-C50C-407E-A947-70E740481C1C}">
                          <a14:useLocalDpi xmlns:a14="http://schemas.microsoft.com/office/drawing/2010/main" val="0"/>
                        </a:ext>
                      </a:extLst>
                    </a:blip>
                    <a:stretch>
                      <a:fillRect/>
                    </a:stretch>
                  </pic:blipFill>
                  <pic:spPr>
                    <a:xfrm>
                      <a:off x="0" y="0"/>
                      <a:ext cx="6645910" cy="2751572"/>
                    </a:xfrm>
                    <a:prstGeom prst="rect">
                      <a:avLst/>
                    </a:prstGeom>
                  </pic:spPr>
                </pic:pic>
              </a:graphicData>
            </a:graphic>
          </wp:inline>
        </w:drawing>
      </w:r>
    </w:p>
    <w:p w14:paraId="7C535DCC" w14:textId="486181E1" w:rsidR="004348C5" w:rsidRDefault="004348C5" w:rsidP="004348C5">
      <w:r>
        <w:lastRenderedPageBreak/>
        <w:t>拉美长期具有较高的价格／组合贡献，但其中包含高通胀市场的定价。</w:t>
      </w:r>
    </w:p>
    <w:p w14:paraId="254244C3" w14:textId="5FC081FB" w:rsidR="004348C5" w:rsidRDefault="004348C5" w:rsidP="004348C5">
      <w:r>
        <w:t>FY2021—FY2023，拉美销量贡献连续达到6%—7%，价格／组合也保持较高水平，是量与价格／组合共同增长的阶段。FY2024销量贡献降至3%，FY2025进一步转为</w:t>
      </w:r>
      <w:r>
        <w:rPr>
          <w:rFonts w:ascii="Cambria Math" w:hAnsi="Cambria Math" w:cs="Cambria Math"/>
        </w:rPr>
        <w:t>−</w:t>
      </w:r>
      <w:r>
        <w:t>1%，而价格／组合仍贡献11%。</w:t>
      </w:r>
    </w:p>
    <w:p w14:paraId="153FFA2E" w14:textId="774773F0" w:rsidR="00964089" w:rsidRDefault="004348C5" w:rsidP="004348C5">
      <w:r>
        <w:t>FY2025拉美报表收入下降2%，但公司披露的有机增长仍为10%，汇率拖累达到12%。</w:t>
      </w:r>
    </w:p>
    <w:p w14:paraId="526D74E7" w14:textId="77777777" w:rsidR="00964089" w:rsidRPr="00964089" w:rsidRDefault="00964089" w:rsidP="00964089"/>
    <w:p w14:paraId="2604CA25" w14:textId="26D4F0ED" w:rsidR="000C2062" w:rsidRDefault="000C2062" w:rsidP="000C2062">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28</w:t>
      </w:r>
      <w:r>
        <w:fldChar w:fldCharType="end"/>
      </w:r>
      <w:r>
        <w:rPr>
          <w:rFonts w:hint="eastAsia"/>
        </w:rPr>
        <w:t>：亚太分部收入归因</w:t>
      </w:r>
    </w:p>
    <w:p w14:paraId="4C2A9E1E" w14:textId="08B67FC0" w:rsidR="00964089" w:rsidRDefault="000C2062" w:rsidP="00964089">
      <w:r w:rsidRPr="000C2062">
        <w:rPr>
          <w:noProof/>
        </w:rPr>
        <w:drawing>
          <wp:inline distT="0" distB="0" distL="0" distR="0" wp14:anchorId="5C4F93AF" wp14:editId="2A93FAC3">
            <wp:extent cx="6645910" cy="2997299"/>
            <wp:effectExtent l="0" t="0" r="0" b="0"/>
            <wp:docPr id="45619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7791" name="图片 1"/>
                    <pic:cNvPicPr/>
                  </pic:nvPicPr>
                  <pic:blipFill>
                    <a:blip r:embed="rId44">
                      <a:extLst>
                        <a:ext uri="{28A0092B-C50C-407E-A947-70E740481C1C}">
                          <a14:useLocalDpi xmlns:a14="http://schemas.microsoft.com/office/drawing/2010/main" val="0"/>
                        </a:ext>
                      </a:extLst>
                    </a:blip>
                    <a:stretch>
                      <a:fillRect/>
                    </a:stretch>
                  </pic:blipFill>
                  <pic:spPr>
                    <a:xfrm>
                      <a:off x="0" y="0"/>
                      <a:ext cx="6645910" cy="2997299"/>
                    </a:xfrm>
                    <a:prstGeom prst="rect">
                      <a:avLst/>
                    </a:prstGeom>
                  </pic:spPr>
                </pic:pic>
              </a:graphicData>
            </a:graphic>
          </wp:inline>
        </w:drawing>
      </w:r>
    </w:p>
    <w:p w14:paraId="76D8DA84" w14:textId="77777777" w:rsidR="00687A09" w:rsidRDefault="00687A09" w:rsidP="00687A09">
      <w:r>
        <w:t>亚太历史上的一个特点，是销量增长并不总能带来同等强度的价格／组合贡献。FY2016—FY2017，销量贡献为正，价格／组合却为负；FY2018—FY2019，销量贡献均达到5%，价格／组合基本持平。FY2021，销量恢复贡献11%，但价格／组合仍拖累2%，年报将其与不利地域组合等因素联系起来。</w:t>
      </w:r>
    </w:p>
    <w:p w14:paraId="784402C5" w14:textId="77777777" w:rsidR="00687A09" w:rsidRDefault="00687A09" w:rsidP="00687A09">
      <w:r>
        <w:t>FY2022，销量贡献仍有8%，但汇率拖累9%，最终报表收入仅增长3%。FY2023则相反，销量贡献接近零，价格／组合贡献5%，又被汇率拖累大体抵消。这说明，亚太收入不能只沿着“多卖多少”这一条线分析，还需要观察增长发生在哪些市场，以及产品、包装和渠道组合如何变化。</w:t>
      </w:r>
    </w:p>
    <w:p w14:paraId="1A00BF1D" w14:textId="56B0096F" w:rsidR="00964089" w:rsidRDefault="00687A09" w:rsidP="00687A09">
      <w:r>
        <w:t>按最新分类，FY2025价格／组合贡献4%，销量贡献1%，但汇率和收购出售分别拖累3%和1%，报表收入最终增长1%。</w:t>
      </w:r>
    </w:p>
    <w:p w14:paraId="29B089B0" w14:textId="77777777" w:rsidR="00964089" w:rsidRDefault="00964089" w:rsidP="00964089"/>
    <w:p w14:paraId="749EE9B8" w14:textId="40C67FB0" w:rsidR="00964089" w:rsidRPr="00B748B6" w:rsidRDefault="00B748B6" w:rsidP="00B748B6">
      <w:pPr>
        <w:pStyle w:val="a9"/>
        <w:numPr>
          <w:ilvl w:val="0"/>
          <w:numId w:val="17"/>
        </w:numPr>
        <w:rPr>
          <w:b/>
          <w:bCs/>
        </w:rPr>
      </w:pPr>
      <w:r w:rsidRPr="00B748B6">
        <w:rPr>
          <w:rFonts w:hint="eastAsia"/>
          <w:b/>
          <w:bCs/>
        </w:rPr>
        <w:t>装瓶投资</w:t>
      </w:r>
    </w:p>
    <w:p w14:paraId="19B348F4" w14:textId="6FCE5E5B" w:rsidR="00B748B6" w:rsidRDefault="00B748B6" w:rsidP="00B748B6">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29</w:t>
      </w:r>
      <w:r>
        <w:fldChar w:fldCharType="end"/>
      </w:r>
      <w:r>
        <w:rPr>
          <w:rFonts w:hint="eastAsia"/>
        </w:rPr>
        <w:t>：装瓶投资收入归因</w:t>
      </w:r>
    </w:p>
    <w:p w14:paraId="0F792E4F" w14:textId="68AA8DFD" w:rsidR="00964089" w:rsidRPr="00964089" w:rsidRDefault="00B748B6" w:rsidP="00964089">
      <w:r w:rsidRPr="00B748B6">
        <w:rPr>
          <w:noProof/>
        </w:rPr>
        <w:drawing>
          <wp:inline distT="0" distB="0" distL="0" distR="0" wp14:anchorId="72160F67" wp14:editId="7FB2F4EE">
            <wp:extent cx="6645910" cy="3035239"/>
            <wp:effectExtent l="0" t="0" r="0" b="635"/>
            <wp:docPr id="1026486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6601" name="图片 1"/>
                    <pic:cNvPicPr/>
                  </pic:nvPicPr>
                  <pic:blipFill>
                    <a:blip r:embed="rId45">
                      <a:extLst>
                        <a:ext uri="{28A0092B-C50C-407E-A947-70E740481C1C}">
                          <a14:useLocalDpi xmlns:a14="http://schemas.microsoft.com/office/drawing/2010/main" val="0"/>
                        </a:ext>
                      </a:extLst>
                    </a:blip>
                    <a:stretch>
                      <a:fillRect/>
                    </a:stretch>
                  </pic:blipFill>
                  <pic:spPr>
                    <a:xfrm>
                      <a:off x="0" y="0"/>
                      <a:ext cx="6645910" cy="3035239"/>
                    </a:xfrm>
                    <a:prstGeom prst="rect">
                      <a:avLst/>
                    </a:prstGeom>
                  </pic:spPr>
                </pic:pic>
              </a:graphicData>
            </a:graphic>
          </wp:inline>
        </w:drawing>
      </w:r>
    </w:p>
    <w:p w14:paraId="68FCF0F5" w14:textId="2733A898" w:rsidR="00F1504D" w:rsidRDefault="00F1504D" w:rsidP="00F1504D">
      <w:r>
        <w:t>FY2016—FY2018，收购出售对装瓶投资收入形成巨大负向影响，是收入下降的主要原因。FY2018经过结构调整后的销量贡献仍有12%，但收购出售拖累55%，最终报表收入下降40%。</w:t>
      </w:r>
    </w:p>
    <w:p w14:paraId="4AB4E854" w14:textId="03D79A27" w:rsidR="00F1504D" w:rsidRDefault="00F1504D" w:rsidP="00F1504D">
      <w:r>
        <w:t>FY2021—FY2022，保留业务的销量恢复较强；FY2023—FY2024，销量与价格／组合仍为正，但资产出售再次压低收入。FY2024，销量和价格／组合各贡献5%，收购出售却拖累28%，报表收入下降21%。</w:t>
      </w:r>
    </w:p>
    <w:p w14:paraId="36F246EB" w14:textId="01416FDC" w:rsidR="00964089" w:rsidRDefault="00F1504D" w:rsidP="00F1504D">
      <w:r>
        <w:t>FY2025则出现进一步变化：收购出售仍拖累7%，但经过调整后的销量贡献已降至接近零。与FY2024相比，公司既受到持续出售业务的影响，保留业务的销量增长也有所减弱。</w:t>
      </w:r>
    </w:p>
    <w:p w14:paraId="07978462" w14:textId="77777777" w:rsidR="00964089" w:rsidRDefault="00964089" w:rsidP="00964089"/>
    <w:p w14:paraId="454F5FB4" w14:textId="04449C8C" w:rsidR="00A5535B" w:rsidRDefault="00A5535B" w:rsidP="00A5535B">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30</w:t>
      </w:r>
      <w:r>
        <w:fldChar w:fldCharType="end"/>
      </w:r>
      <w:r>
        <w:rPr>
          <w:rFonts w:hint="eastAsia"/>
        </w:rPr>
        <w:t>：</w:t>
      </w:r>
      <w:r>
        <w:rPr>
          <w:rFonts w:hint="eastAsia"/>
        </w:rPr>
        <w:t>Global Ventures</w:t>
      </w:r>
      <w:r>
        <w:rPr>
          <w:rFonts w:hint="eastAsia"/>
        </w:rPr>
        <w:t>收入归因</w:t>
      </w:r>
    </w:p>
    <w:p w14:paraId="5ABE635D" w14:textId="05B2C0E4" w:rsidR="00964089" w:rsidRDefault="00A5535B" w:rsidP="00964089">
      <w:r w:rsidRPr="00A5535B">
        <w:rPr>
          <w:noProof/>
        </w:rPr>
        <w:drawing>
          <wp:inline distT="0" distB="0" distL="0" distR="0" wp14:anchorId="359E8FC5" wp14:editId="72D1F085">
            <wp:extent cx="6645910" cy="1972905"/>
            <wp:effectExtent l="0" t="0" r="0" b="0"/>
            <wp:docPr id="1944290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0711" name="图片 1"/>
                    <pic:cNvPicPr/>
                  </pic:nvPicPr>
                  <pic:blipFill>
                    <a:blip r:embed="rId46">
                      <a:extLst>
                        <a:ext uri="{28A0092B-C50C-407E-A947-70E740481C1C}">
                          <a14:useLocalDpi xmlns:a14="http://schemas.microsoft.com/office/drawing/2010/main" val="0"/>
                        </a:ext>
                      </a:extLst>
                    </a:blip>
                    <a:stretch>
                      <a:fillRect/>
                    </a:stretch>
                  </pic:blipFill>
                  <pic:spPr>
                    <a:xfrm>
                      <a:off x="0" y="0"/>
                      <a:ext cx="6645910" cy="1972905"/>
                    </a:xfrm>
                    <a:prstGeom prst="rect">
                      <a:avLst/>
                    </a:prstGeom>
                  </pic:spPr>
                </pic:pic>
              </a:graphicData>
            </a:graphic>
          </wp:inline>
        </w:drawing>
      </w:r>
    </w:p>
    <w:p w14:paraId="6FDD876D" w14:textId="72301397" w:rsidR="006C007C" w:rsidRDefault="006C007C" w:rsidP="006C007C">
      <w:r>
        <w:t>FY2019报表收入增长233%，主要来自Costa收购并表。</w:t>
      </w:r>
    </w:p>
    <w:p w14:paraId="20A1545D" w14:textId="77777777" w:rsidR="006C007C" w:rsidRDefault="006C007C" w:rsidP="006C007C">
      <w:r>
        <w:t>FY2020—FY2021，Costa门店受疫情关闭及随后重开的影响，销量和渠道组合先受到冲击、再明显恢复。FY2022，销量贡献仍有13%，但汇率拖累11%，报表收入仅增长1%；FY2024，销量贡献4%，价格／组合拖累3%，收入增长2%。</w:t>
      </w:r>
    </w:p>
    <w:p w14:paraId="54F6D6BA" w14:textId="682E3FAF" w:rsidR="00964089" w:rsidRDefault="006C007C" w:rsidP="006C007C">
      <w:r>
        <w:t>该分部汇集咖啡门店、包装饮料及Monster合作费用等不同业务，历史归因对Costa非即饮销量还另有处理。公司因此提醒，销量和价格／组合可能受业务构成影响而较大波动，应更重视收入整体表现。2025年分</w:t>
      </w:r>
      <w:r>
        <w:lastRenderedPageBreak/>
        <w:t>部取消后，其业务归入相应地理分部，后续不再单独形成同口径增长序列。</w:t>
      </w:r>
    </w:p>
    <w:p w14:paraId="1C743BE1" w14:textId="77777777" w:rsidR="0093083F" w:rsidRDefault="0093083F" w:rsidP="00BF35B0"/>
    <w:p w14:paraId="0B435A8B" w14:textId="7C670F7E" w:rsidR="0093083F" w:rsidRPr="007D1678" w:rsidRDefault="007D1678" w:rsidP="007D1678">
      <w:pPr>
        <w:pStyle w:val="a9"/>
        <w:numPr>
          <w:ilvl w:val="0"/>
          <w:numId w:val="17"/>
        </w:numPr>
        <w:rPr>
          <w:b/>
          <w:bCs/>
        </w:rPr>
      </w:pPr>
      <w:r w:rsidRPr="007D1678">
        <w:rPr>
          <w:rFonts w:hint="eastAsia"/>
          <w:b/>
          <w:bCs/>
        </w:rPr>
        <w:t>近期变化</w:t>
      </w:r>
    </w:p>
    <w:p w14:paraId="7EE89FA3" w14:textId="589F4C7A" w:rsidR="008037BC" w:rsidRDefault="008037BC" w:rsidP="008037BC">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31</w:t>
      </w:r>
      <w:r>
        <w:fldChar w:fldCharType="end"/>
      </w:r>
      <w:r>
        <w:rPr>
          <w:rFonts w:hint="eastAsia"/>
        </w:rPr>
        <w:t>：近期合并收入</w:t>
      </w:r>
      <w:r>
        <w:rPr>
          <w:rFonts w:hint="eastAsia"/>
          <w:noProof/>
        </w:rPr>
        <w:t>归因</w:t>
      </w:r>
    </w:p>
    <w:p w14:paraId="3D9840DA" w14:textId="087B5C4E" w:rsidR="000A788F" w:rsidRPr="007D1678" w:rsidRDefault="008037BC" w:rsidP="00BF35B0">
      <w:r w:rsidRPr="008037BC">
        <w:rPr>
          <w:noProof/>
        </w:rPr>
        <w:drawing>
          <wp:inline distT="0" distB="0" distL="0" distR="0" wp14:anchorId="7F90E34A" wp14:editId="548B7622">
            <wp:extent cx="6645910" cy="2232025"/>
            <wp:effectExtent l="0" t="0" r="0" b="3175"/>
            <wp:docPr id="560162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2802" name=""/>
                    <pic:cNvPicPr/>
                  </pic:nvPicPr>
                  <pic:blipFill>
                    <a:blip r:embed="rId47"/>
                    <a:stretch>
                      <a:fillRect/>
                    </a:stretch>
                  </pic:blipFill>
                  <pic:spPr>
                    <a:xfrm>
                      <a:off x="0" y="0"/>
                      <a:ext cx="6645910" cy="2232025"/>
                    </a:xfrm>
                    <a:prstGeom prst="rect">
                      <a:avLst/>
                    </a:prstGeom>
                  </pic:spPr>
                </pic:pic>
              </a:graphicData>
            </a:graphic>
          </wp:inline>
        </w:drawing>
      </w:r>
    </w:p>
    <w:p w14:paraId="14C392F1" w14:textId="6E154356" w:rsidR="004B2BE0" w:rsidRDefault="001D0358" w:rsidP="004B2BE0">
      <w:r>
        <w:t>2025年前三季度，有机增长主要由价格／组合支撑，销量贡献较弱。第四季度开始，销量贡献提高至4%，价格／组合降至1%；2026年上半年，销量贡献进一步成为主要来源，价格／组合则保持在2%。</w:t>
      </w:r>
    </w:p>
    <w:p w14:paraId="2DE8D39C" w14:textId="77777777" w:rsidR="004B2BE0" w:rsidRDefault="004B2BE0" w:rsidP="004B2BE0"/>
    <w:p w14:paraId="335ABD32" w14:textId="2532FC0D" w:rsidR="004B2BE0" w:rsidRDefault="004B7BE8" w:rsidP="00320324">
      <w:pPr>
        <w:pStyle w:val="3"/>
      </w:pPr>
      <w:r w:rsidRPr="004B7BE8">
        <w:t>利润与盈利能力</w:t>
      </w:r>
    </w:p>
    <w:p w14:paraId="110E91F6" w14:textId="5B914068" w:rsidR="00AE4D03" w:rsidRPr="00BF35B0" w:rsidRDefault="00AE4D03" w:rsidP="00500A65">
      <w:pPr>
        <w:pStyle w:val="4"/>
      </w:pPr>
      <w:r>
        <w:rPr>
          <w:rFonts w:hint="eastAsia"/>
        </w:rPr>
        <w:t>合并公司</w:t>
      </w:r>
    </w:p>
    <w:p w14:paraId="47BBA6E2" w14:textId="742EC2AB" w:rsidR="004B2BE0" w:rsidRPr="00D878E0" w:rsidRDefault="00FA463D" w:rsidP="004B2BE0">
      <w:pPr>
        <w:pStyle w:val="a9"/>
        <w:numPr>
          <w:ilvl w:val="0"/>
          <w:numId w:val="17"/>
        </w:numPr>
        <w:rPr>
          <w:rFonts w:hint="eastAsia"/>
          <w:b/>
          <w:bCs/>
        </w:rPr>
      </w:pPr>
      <w:r w:rsidRPr="00FA463D">
        <w:rPr>
          <w:rFonts w:hint="eastAsia"/>
          <w:b/>
          <w:bCs/>
        </w:rPr>
        <w:t>合并利润</w:t>
      </w:r>
    </w:p>
    <w:p w14:paraId="1E2346C2" w14:textId="71176576" w:rsidR="004C3B7E" w:rsidRDefault="004C3B7E" w:rsidP="004C3B7E">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32</w:t>
      </w:r>
      <w:r>
        <w:fldChar w:fldCharType="end"/>
      </w:r>
      <w:r>
        <w:rPr>
          <w:rFonts w:hint="eastAsia"/>
        </w:rPr>
        <w:t>：</w:t>
      </w:r>
      <w:r w:rsidR="00654EB8">
        <w:rPr>
          <w:rFonts w:hint="eastAsia"/>
        </w:rPr>
        <w:t>历年</w:t>
      </w:r>
      <w:r>
        <w:rPr>
          <w:rFonts w:hint="eastAsia"/>
        </w:rPr>
        <w:t>合并利润</w:t>
      </w:r>
    </w:p>
    <w:p w14:paraId="04FDFEC0" w14:textId="1029B6A0" w:rsidR="004B2BE0" w:rsidRDefault="004C3B7E" w:rsidP="004B2BE0">
      <w:r w:rsidRPr="004C3B7E">
        <w:rPr>
          <w:noProof/>
        </w:rPr>
        <w:drawing>
          <wp:inline distT="0" distB="0" distL="0" distR="0" wp14:anchorId="2B4FE35B" wp14:editId="2276696E">
            <wp:extent cx="6392333" cy="3437162"/>
            <wp:effectExtent l="0" t="0" r="0" b="5080"/>
            <wp:docPr id="1655312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2716" name="图片 1"/>
                    <pic:cNvPicPr/>
                  </pic:nvPicPr>
                  <pic:blipFill>
                    <a:blip r:embed="rId48">
                      <a:extLst>
                        <a:ext uri="{28A0092B-C50C-407E-A947-70E740481C1C}">
                          <a14:useLocalDpi xmlns:a14="http://schemas.microsoft.com/office/drawing/2010/main" val="0"/>
                        </a:ext>
                      </a:extLst>
                    </a:blip>
                    <a:stretch>
                      <a:fillRect/>
                    </a:stretch>
                  </pic:blipFill>
                  <pic:spPr>
                    <a:xfrm>
                      <a:off x="0" y="0"/>
                      <a:ext cx="6399998" cy="3441284"/>
                    </a:xfrm>
                    <a:prstGeom prst="rect">
                      <a:avLst/>
                    </a:prstGeom>
                  </pic:spPr>
                </pic:pic>
              </a:graphicData>
            </a:graphic>
          </wp:inline>
        </w:drawing>
      </w:r>
    </w:p>
    <w:p w14:paraId="2F4448AE" w14:textId="7029CC0A" w:rsidR="009C4FAD" w:rsidRDefault="009C4FAD" w:rsidP="009C4FAD">
      <w:r>
        <w:lastRenderedPageBreak/>
        <w:t>首先，公司的业务结构调整</w:t>
      </w:r>
      <w:r w:rsidR="00D84E7A">
        <w:rPr>
          <w:rFonts w:hint="eastAsia"/>
        </w:rPr>
        <w:t>使</w:t>
      </w:r>
      <w:r w:rsidR="005B6D09">
        <w:t>长期利润增长快于收入</w:t>
      </w:r>
      <w:r>
        <w:t>。 再特许经营使大量装瓶业务退出合并范围，减少了KO确认的下游收入，也改变了与这些收入对应的成本和费用。因此，早期收入下降与利润率提高可以同时发生。FY2016—FY2018，收入下降18.1%，营业利润反而增长5.7%，正是这一阶段的集中体现。</w:t>
      </w:r>
    </w:p>
    <w:p w14:paraId="50A76449" w14:textId="77777777" w:rsidR="00FC3EC8" w:rsidRDefault="009C4FAD" w:rsidP="009C4FAD">
      <w:r>
        <w:t>但出售装瓶业务本身也会带走利润。公司披露，FY2018营业利润增长还受益于销量、价格／组合、生产率提升及其他营业费用下降，再特许经营对当年营业利润总额仍有拖累。</w:t>
      </w:r>
    </w:p>
    <w:p w14:paraId="7DE31CDB" w14:textId="38708B93" w:rsidR="009C4FAD" w:rsidRDefault="009C4FAD" w:rsidP="009C4FAD">
      <w:r>
        <w:t>从十年结果看，毛利率由60.7%提高至61.6%，而营业利润率提高约8</w:t>
      </w:r>
      <w:r w:rsidR="007A452A">
        <w:rPr>
          <w:rFonts w:hint="eastAsia"/>
        </w:rPr>
        <w:t>%</w:t>
      </w:r>
      <w:r w:rsidR="007B78BC">
        <w:rPr>
          <w:rFonts w:hint="eastAsia"/>
        </w:rPr>
        <w:t>，</w:t>
      </w:r>
      <w:r>
        <w:t>销售及管理费用占收入的比例由36.7%降至30.3%。</w:t>
      </w:r>
    </w:p>
    <w:p w14:paraId="0CD6F9DE" w14:textId="66A1DFBF" w:rsidR="009C4FAD" w:rsidRDefault="009C4FAD" w:rsidP="009C4FAD">
      <w:r>
        <w:t>FY2022收入增长11.3%，营业利润只增长5.8%，毛利率降至58.1%。原材料及运输成本上涨、汇率和BODYARMOR并表，抵消了部分价格／组合改善。此后毛利率连续恢复，到FY2025升至61.6%，主要受益于价格措施，以及出售部分装瓶业务带来的结构变化。</w:t>
      </w:r>
    </w:p>
    <w:p w14:paraId="2E3C7A50" w14:textId="59D3EEB0" w:rsidR="009C4FAD" w:rsidRDefault="009C4FAD" w:rsidP="009C4FAD">
      <w:r>
        <w:t>近两年最重要的利润扰动，是</w:t>
      </w:r>
      <w:proofErr w:type="spellStart"/>
      <w:r>
        <w:t>fairlife</w:t>
      </w:r>
      <w:proofErr w:type="spellEnd"/>
      <w:r>
        <w:t>收购相关费用的变化。KO收购</w:t>
      </w:r>
      <w:proofErr w:type="spellStart"/>
      <w:r>
        <w:t>fairlife</w:t>
      </w:r>
      <w:proofErr w:type="spellEnd"/>
      <w:r>
        <w:t>时，约定部分后续价款根据其经营业绩确定；预计应付金额上升，需要重估负债并确认费用。FY2024，这项费用达到31.09亿美元，明显压低营业利润；FY2025则降至4700万美元。其他营业费用合计减少29.02亿美元，相当于FY2025营业利润增量的约77%。因此，当年37.7%的营业利润增长，很大程度上来自特殊费用下降形成的比较基数效应。</w:t>
      </w:r>
    </w:p>
    <w:p w14:paraId="7CE07761" w14:textId="713C5272" w:rsidR="006F33BD" w:rsidRDefault="006F33BD" w:rsidP="009C4FAD">
      <w:r w:rsidRPr="006F33BD">
        <w:rPr>
          <w:noProof/>
        </w:rPr>
        <w:drawing>
          <wp:inline distT="0" distB="0" distL="0" distR="0" wp14:anchorId="3233D7C0" wp14:editId="590C911A">
            <wp:extent cx="6645910" cy="1351915"/>
            <wp:effectExtent l="0" t="0" r="0" b="0"/>
            <wp:docPr id="74008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82559" name=""/>
                    <pic:cNvPicPr/>
                  </pic:nvPicPr>
                  <pic:blipFill>
                    <a:blip r:embed="rId49"/>
                    <a:stretch>
                      <a:fillRect/>
                    </a:stretch>
                  </pic:blipFill>
                  <pic:spPr>
                    <a:xfrm>
                      <a:off x="0" y="0"/>
                      <a:ext cx="6645910" cy="1351915"/>
                    </a:xfrm>
                    <a:prstGeom prst="rect">
                      <a:avLst/>
                    </a:prstGeom>
                  </pic:spPr>
                </pic:pic>
              </a:graphicData>
            </a:graphic>
          </wp:inline>
        </w:drawing>
      </w:r>
    </w:p>
    <w:p w14:paraId="612D1F89" w14:textId="02535708" w:rsidR="009C4FAD" w:rsidRDefault="009C4FAD" w:rsidP="009C4FAD">
      <w:r>
        <w:t>公司披露的可比营业利润，则呈现出更平稳的改善趋势：FY2024、FY2025分别增长5.6%和6.6%，可比营业利润率由FY2023的29.13%，提高至FY2024的30.03%和FY2025的31.24%。</w:t>
      </w:r>
    </w:p>
    <w:p w14:paraId="1F22CCA4" w14:textId="7C3CBF50" w:rsidR="004B2BE0" w:rsidRPr="00BF35B0" w:rsidRDefault="009C4FAD" w:rsidP="009C4FAD">
      <w:r>
        <w:t>净利润还叠加了投资收益、融资成本和税务影响。例如，FY2017美国税改等项目使有效税率升至81.4%，造成净利润异常偏低；FY2025权益法投资收益为20.31亿美元，占税前利润约12.7%，也是不可忽略的利润来源。</w:t>
      </w:r>
    </w:p>
    <w:p w14:paraId="15116E99" w14:textId="77777777" w:rsidR="004B2BE0" w:rsidRDefault="004B2BE0" w:rsidP="004B2BE0"/>
    <w:p w14:paraId="58CC8DD7" w14:textId="7BD963AE" w:rsidR="004B2BE0" w:rsidRPr="007D6566" w:rsidRDefault="007D6566" w:rsidP="007D6566">
      <w:pPr>
        <w:pStyle w:val="a9"/>
        <w:numPr>
          <w:ilvl w:val="0"/>
          <w:numId w:val="17"/>
        </w:numPr>
        <w:rPr>
          <w:b/>
          <w:bCs/>
        </w:rPr>
      </w:pPr>
      <w:r w:rsidRPr="007D6566">
        <w:rPr>
          <w:rFonts w:hint="eastAsia"/>
          <w:b/>
          <w:bCs/>
        </w:rPr>
        <w:t>成本费用与利润率</w:t>
      </w:r>
    </w:p>
    <w:p w14:paraId="3A731A98" w14:textId="4CB24354" w:rsidR="00371F4B" w:rsidRDefault="00371F4B" w:rsidP="00371F4B">
      <w:r w:rsidRPr="00D84E7A">
        <w:rPr>
          <w:b/>
        </w:rPr>
        <w:t>KO的盈利能力，一方面取决于价格与产品组合能否覆盖成本上涨，另一方面取决于公司能否在持续投入品牌的同时控制费用规模。</w:t>
      </w:r>
      <w:r>
        <w:t>再特许经营改变了这两方面的比较基础：出售装瓶业务既减少收入，也移出了相应的生产、配送和管理支出。</w:t>
      </w:r>
    </w:p>
    <w:p w14:paraId="3A6A5C07" w14:textId="6CD01EF8" w:rsidR="004B2BE0" w:rsidRDefault="00371F4B" w:rsidP="00371F4B">
      <w:r>
        <w:t>销售及管理费用也不只是总部管理开支，其中包含广告、销售配送、员工薪酬等。年报特别说明，合并装瓶业务向客户配送产品的相关费用计入销售及管理费用。因此，费用率下降可能来自配送业务退出合并范围，也可能来自费用管理和收入增长，不能全部解释为总部效率提高。</w:t>
      </w:r>
    </w:p>
    <w:p w14:paraId="1EF3FEB3" w14:textId="147378D7" w:rsidR="00870CCF" w:rsidRDefault="00870CCF" w:rsidP="00870CCF">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33</w:t>
      </w:r>
      <w:r>
        <w:fldChar w:fldCharType="end"/>
      </w:r>
      <w:r>
        <w:rPr>
          <w:rFonts w:hint="eastAsia"/>
        </w:rPr>
        <w:t>：成本费用</w:t>
      </w:r>
    </w:p>
    <w:p w14:paraId="1D595A1A" w14:textId="0BAC4752" w:rsidR="004B2BE0" w:rsidRPr="00BF35B0" w:rsidRDefault="00870CCF" w:rsidP="004B2BE0">
      <w:r w:rsidRPr="00870CCF">
        <w:rPr>
          <w:noProof/>
        </w:rPr>
        <w:drawing>
          <wp:inline distT="0" distB="0" distL="0" distR="0" wp14:anchorId="6B38D1DA" wp14:editId="579F29DF">
            <wp:extent cx="6645910" cy="3498850"/>
            <wp:effectExtent l="0" t="0" r="0" b="6350"/>
            <wp:docPr id="29397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78984" name=""/>
                    <pic:cNvPicPr/>
                  </pic:nvPicPr>
                  <pic:blipFill>
                    <a:blip r:embed="rId50"/>
                    <a:stretch>
                      <a:fillRect/>
                    </a:stretch>
                  </pic:blipFill>
                  <pic:spPr>
                    <a:xfrm>
                      <a:off x="0" y="0"/>
                      <a:ext cx="6645910" cy="3498850"/>
                    </a:xfrm>
                    <a:prstGeom prst="rect">
                      <a:avLst/>
                    </a:prstGeom>
                  </pic:spPr>
                </pic:pic>
              </a:graphicData>
            </a:graphic>
          </wp:inline>
        </w:drawing>
      </w:r>
    </w:p>
    <w:p w14:paraId="76F5495E" w14:textId="5E418758" w:rsidR="00415469" w:rsidRDefault="00415469" w:rsidP="00415469">
      <w:r>
        <w:t>毛利率的变化，体现了价格、成本与业务组合之间的拉锯。 FY2022，营业成本增长17.2%，快于收入增长，毛利率降至58.1%。年报将其归因于原材料和运输成本上涨、汇率及BODYARMOR成品业务并表，价格和渠道、包装组合改善只抵消了部分压力。</w:t>
      </w:r>
    </w:p>
    <w:p w14:paraId="3B0C9FEC" w14:textId="12F23661" w:rsidR="00415469" w:rsidRDefault="00415469" w:rsidP="00415469">
      <w:r>
        <w:t>此后毛利率连续恢复，到FY2025升至61.6%。其中既有价格措施的作用，也有出售部分装瓶业务带来的结构改善。FY2025营业成本仅增长0.4%，并不代表原材料价格已经停止上涨：公司明确指出，原材料成本和汇率仍在拖累毛利率，价格措施及此前再特许经营的影响提供了抵消。</w:t>
      </w:r>
    </w:p>
    <w:p w14:paraId="6E5FF57A" w14:textId="7552B68E" w:rsidR="00415469" w:rsidRDefault="00415469" w:rsidP="00415469">
      <w:r>
        <w:t>销售及管理费用率的长期下降，首先包含了公司经营范围的改变。 FY2017—FY2018，销售及管理费用减少18.32亿美元，其中销售配送费用由34.02亿美元降至21.82亿美元，贡献了约三分之二的降幅；同期广告费用却由39.58亿美元增至41.13亿美元。年报将配送费用下降主要归因于再特许经营。这组数据说明，费用总额下降的重要原因，是KO不再承担部分装瓶和配送活动，而品牌投入仍在增加。</w:t>
      </w:r>
    </w:p>
    <w:p w14:paraId="6327B0BA" w14:textId="37F8BC13" w:rsidR="00415469" w:rsidRDefault="00415469" w:rsidP="00415469">
      <w:r>
        <w:t>近期费用控制的特点，是广告投入增加与其他费用下降同时发生。 FY2025销售及管理费用下降0.4%，广告费用却由上年约51亿美元增至约54亿美元。公司解释，捐赠和年度激励费用下降抵消了广告等支出的增加。</w:t>
      </w:r>
    </w:p>
    <w:p w14:paraId="61B52A04" w14:textId="63250755" w:rsidR="003140DE" w:rsidRDefault="003140DE" w:rsidP="003140DE">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34</w:t>
      </w:r>
      <w:r>
        <w:fldChar w:fldCharType="end"/>
      </w:r>
      <w:r>
        <w:rPr>
          <w:rFonts w:hint="eastAsia"/>
        </w:rPr>
        <w:t>：</w:t>
      </w:r>
      <w:r>
        <w:rPr>
          <w:rFonts w:hint="eastAsia"/>
        </w:rPr>
        <w:t>26H1</w:t>
      </w:r>
      <w:r>
        <w:rPr>
          <w:rFonts w:hint="eastAsia"/>
        </w:rPr>
        <w:t>成本费用</w:t>
      </w:r>
    </w:p>
    <w:p w14:paraId="123B3090" w14:textId="2E90F7B6" w:rsidR="004B2BE0" w:rsidRDefault="003140DE" w:rsidP="004B2BE0">
      <w:r w:rsidRPr="003140DE">
        <w:rPr>
          <w:noProof/>
        </w:rPr>
        <w:drawing>
          <wp:inline distT="0" distB="0" distL="0" distR="0" wp14:anchorId="0A7BD26B" wp14:editId="50CDCA7C">
            <wp:extent cx="6645910" cy="1209040"/>
            <wp:effectExtent l="0" t="0" r="0" b="0"/>
            <wp:docPr id="82773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37434" name=""/>
                    <pic:cNvPicPr/>
                  </pic:nvPicPr>
                  <pic:blipFill>
                    <a:blip r:embed="rId51"/>
                    <a:stretch>
                      <a:fillRect/>
                    </a:stretch>
                  </pic:blipFill>
                  <pic:spPr>
                    <a:xfrm>
                      <a:off x="0" y="0"/>
                      <a:ext cx="6645910" cy="1209040"/>
                    </a:xfrm>
                    <a:prstGeom prst="rect">
                      <a:avLst/>
                    </a:prstGeom>
                  </pic:spPr>
                </pic:pic>
              </a:graphicData>
            </a:graphic>
          </wp:inline>
        </w:drawing>
      </w:r>
    </w:p>
    <w:p w14:paraId="03C2AC67" w14:textId="0C63C2E6" w:rsidR="004B2BE0" w:rsidRDefault="00682C0D" w:rsidP="004B2BE0">
      <w:r w:rsidRPr="00D84E7A">
        <w:rPr>
          <w:b/>
        </w:rPr>
        <w:t>2026年上半年，毛利率继续改善，但营销投入也明显增加。</w:t>
      </w:r>
    </w:p>
    <w:p w14:paraId="5E5CA5B6" w14:textId="580F8306" w:rsidR="004B2BE0" w:rsidRPr="00BF35B0" w:rsidRDefault="00F74D97" w:rsidP="004B2BE0">
      <w:r w:rsidRPr="00F74D97">
        <w:t>上半年毛利率同比提高约0.44个百分点，公司将其归因于价格措施、汇率及出售尼日利亚成品业务，原材料</w:t>
      </w:r>
      <w:r w:rsidRPr="00F74D97">
        <w:lastRenderedPageBreak/>
        <w:t>成本上涨仍构成抵消。同时，广告费用由24.17亿美元增至29.42亿美元，增长21.7%，但销售及管理费用总额增长7.3%，低于收入增速，费用率下降约0.51个百分点。公司提到，营销支出增加部分受投放时间安排影响，年度激励费用下降和业务出售则缓解了费用增长。</w:t>
      </w:r>
    </w:p>
    <w:p w14:paraId="234E1D19" w14:textId="77777777" w:rsidR="004B2BE0" w:rsidRDefault="004B2BE0" w:rsidP="004B2BE0"/>
    <w:p w14:paraId="06BF03BB" w14:textId="2BF16C05" w:rsidR="004B2BE0" w:rsidRDefault="00B043E0" w:rsidP="00B043E0">
      <w:pPr>
        <w:pStyle w:val="4"/>
      </w:pPr>
      <w:r>
        <w:rPr>
          <w:rFonts w:hint="eastAsia"/>
        </w:rPr>
        <w:t>分部</w:t>
      </w:r>
    </w:p>
    <w:p w14:paraId="68FEC086" w14:textId="2C5574E8" w:rsidR="004B2BE0" w:rsidRDefault="00986DD0" w:rsidP="004B2BE0">
      <w:r w:rsidRPr="00D84E7A">
        <w:rPr>
          <w:b/>
        </w:rPr>
        <w:t>KO的分部盈利结构有三个重要特征：北美是最大的营业利润来源，拉美以较小的收入规模贡献了较高利润，装瓶投资的利润贡献则明显低于其收入权重。</w:t>
      </w:r>
      <w:r w:rsidRPr="00986DD0">
        <w:t>近期的分化也较清楚：北美利润恢复增长，EMEA受到费用增长约束，亚太面临收入增长偏弱与成本上升的双重压力。</w:t>
      </w:r>
    </w:p>
    <w:p w14:paraId="102CB93D" w14:textId="77777777" w:rsidR="004B2BE0" w:rsidRPr="00BF35B0" w:rsidRDefault="004B2BE0" w:rsidP="004B2BE0"/>
    <w:p w14:paraId="6A6DADF0" w14:textId="3E3E07F0" w:rsidR="00AE61B4" w:rsidRDefault="00AE61B4" w:rsidP="00AE61B4">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35</w:t>
      </w:r>
      <w:r>
        <w:fldChar w:fldCharType="end"/>
      </w:r>
      <w:r>
        <w:rPr>
          <w:rFonts w:hint="eastAsia"/>
        </w:rPr>
        <w:t>：分部营业利润</w:t>
      </w:r>
      <w:r w:rsidR="00FD6997">
        <w:rPr>
          <w:rFonts w:hint="eastAsia"/>
        </w:rPr>
        <w:t>合计</w:t>
      </w:r>
    </w:p>
    <w:p w14:paraId="1ECB037F" w14:textId="5D8022D6" w:rsidR="004B2BE0" w:rsidRDefault="00AE61B4" w:rsidP="004B2BE0">
      <w:r w:rsidRPr="00AE61B4">
        <w:rPr>
          <w:noProof/>
        </w:rPr>
        <w:drawing>
          <wp:inline distT="0" distB="0" distL="0" distR="0" wp14:anchorId="17C55851" wp14:editId="1441CBD8">
            <wp:extent cx="6187878" cy="3674533"/>
            <wp:effectExtent l="0" t="0" r="0" b="0"/>
            <wp:docPr id="156927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6048" name=""/>
                    <pic:cNvPicPr/>
                  </pic:nvPicPr>
                  <pic:blipFill>
                    <a:blip r:embed="rId52"/>
                    <a:stretch>
                      <a:fillRect/>
                    </a:stretch>
                  </pic:blipFill>
                  <pic:spPr>
                    <a:xfrm>
                      <a:off x="0" y="0"/>
                      <a:ext cx="6202473" cy="3683200"/>
                    </a:xfrm>
                    <a:prstGeom prst="rect">
                      <a:avLst/>
                    </a:prstGeom>
                  </pic:spPr>
                </pic:pic>
              </a:graphicData>
            </a:graphic>
          </wp:inline>
        </w:drawing>
      </w:r>
    </w:p>
    <w:p w14:paraId="6D51EAA9" w14:textId="2827759E" w:rsidR="004B2BE0" w:rsidRPr="00361866" w:rsidRDefault="00361866" w:rsidP="00361866">
      <w:pPr>
        <w:ind w:firstLine="420"/>
        <w:rPr>
          <w:sz w:val="20"/>
          <w:szCs w:val="21"/>
        </w:rPr>
      </w:pPr>
      <w:r w:rsidRPr="00361866">
        <w:rPr>
          <w:sz w:val="20"/>
          <w:szCs w:val="21"/>
        </w:rPr>
        <w:t>经营分部营业利润合计＋Corporate营业损益＝合并营业利润</w:t>
      </w:r>
    </w:p>
    <w:p w14:paraId="7AA45931" w14:textId="5AACC559" w:rsidR="004B2BE0" w:rsidRDefault="00393B41" w:rsidP="004B2BE0">
      <w:r w:rsidRPr="00393B41">
        <w:t>Corporate指“集团总部及集中职能”</w:t>
      </w:r>
      <w:r>
        <w:rPr>
          <w:rFonts w:hint="eastAsia"/>
        </w:rPr>
        <w:t>，</w:t>
      </w:r>
      <w:r w:rsidRPr="00393B41">
        <w:t xml:space="preserve"> 归集未分配到各经营分部的集团层面营业收支，与北美、拉美等分部单独列示。</w:t>
      </w:r>
      <w:r w:rsidR="00672FB3">
        <w:rPr>
          <w:rFonts w:hint="eastAsia"/>
        </w:rPr>
        <w:t>包括集团共同承担的开支、集团层面的重大经营损益。</w:t>
      </w:r>
    </w:p>
    <w:p w14:paraId="3AE749FB" w14:textId="3EC9AB59" w:rsidR="00941CC2" w:rsidRDefault="00941CC2" w:rsidP="00941CC2">
      <w:r>
        <w:t>疫情后，经营分部利润持续恢复，但Corporate费用增加，削弱了增长向合并利润的传导。FY2024经营分部利润仍增长1.5%，合并营业利润却下降11.7%，</w:t>
      </w:r>
      <w:r w:rsidR="00DE6A5F">
        <w:t>主要受到</w:t>
      </w:r>
      <w:proofErr w:type="spellStart"/>
      <w:r w:rsidR="00DE6A5F">
        <w:t>fairlife</w:t>
      </w:r>
      <w:proofErr w:type="spellEnd"/>
      <w:r w:rsidR="00DE6A5F">
        <w:t>收购相关或有对价重估费用增加的影响</w:t>
      </w:r>
      <w:r>
        <w:t>。</w:t>
      </w:r>
    </w:p>
    <w:p w14:paraId="6611A97E" w14:textId="736F66FC" w:rsidR="0041404E" w:rsidRDefault="00941CC2" w:rsidP="00941CC2">
      <w:r>
        <w:t>FY2025则出现反向变化：经营分部利润仅增长2.1%，Corporate亏损收窄却贡献了合并利润增量的约91%，主要与</w:t>
      </w:r>
      <w:proofErr w:type="spellStart"/>
      <w:r>
        <w:t>fairlife</w:t>
      </w:r>
      <w:proofErr w:type="spellEnd"/>
      <w:r>
        <w:t>收购相关重估费用大幅减少有关。</w:t>
      </w:r>
    </w:p>
    <w:p w14:paraId="5D83ED76" w14:textId="6C0A929C" w:rsidR="00656D04" w:rsidRDefault="00656D04" w:rsidP="00656D04">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36</w:t>
      </w:r>
      <w:r>
        <w:fldChar w:fldCharType="end"/>
      </w:r>
      <w:r>
        <w:rPr>
          <w:rFonts w:hint="eastAsia"/>
        </w:rPr>
        <w:t>：各分部营业利润</w:t>
      </w:r>
    </w:p>
    <w:p w14:paraId="7290FBDD" w14:textId="6EEAA369" w:rsidR="0041404E" w:rsidRDefault="00656D04" w:rsidP="004B2BE0">
      <w:r w:rsidRPr="00656D04">
        <w:rPr>
          <w:noProof/>
        </w:rPr>
        <w:drawing>
          <wp:inline distT="0" distB="0" distL="0" distR="0" wp14:anchorId="3A8BF2C0" wp14:editId="1A913A64">
            <wp:extent cx="6645910" cy="3447415"/>
            <wp:effectExtent l="0" t="0" r="0" b="0"/>
            <wp:docPr id="189715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3252" name=""/>
                    <pic:cNvPicPr/>
                  </pic:nvPicPr>
                  <pic:blipFill>
                    <a:blip r:embed="rId53"/>
                    <a:stretch>
                      <a:fillRect/>
                    </a:stretch>
                  </pic:blipFill>
                  <pic:spPr>
                    <a:xfrm>
                      <a:off x="0" y="0"/>
                      <a:ext cx="6645910" cy="3447415"/>
                    </a:xfrm>
                    <a:prstGeom prst="rect">
                      <a:avLst/>
                    </a:prstGeom>
                  </pic:spPr>
                </pic:pic>
              </a:graphicData>
            </a:graphic>
          </wp:inline>
        </w:drawing>
      </w:r>
    </w:p>
    <w:p w14:paraId="4B0D7754" w14:textId="7ACAD7B7" w:rsidR="00006957" w:rsidRDefault="00006957" w:rsidP="00006957">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37</w:t>
      </w:r>
      <w:r>
        <w:fldChar w:fldCharType="end"/>
      </w:r>
      <w:r>
        <w:rPr>
          <w:rFonts w:hint="eastAsia"/>
        </w:rPr>
        <w:t>：各分部成本费用利润率</w:t>
      </w:r>
    </w:p>
    <w:p w14:paraId="6C408930" w14:textId="7CC55DBF" w:rsidR="00006957" w:rsidRDefault="00006957" w:rsidP="004B2BE0">
      <w:r w:rsidRPr="00006957">
        <w:rPr>
          <w:noProof/>
        </w:rPr>
        <w:drawing>
          <wp:inline distT="0" distB="0" distL="0" distR="0" wp14:anchorId="3AAA648B" wp14:editId="00A14718">
            <wp:extent cx="6645910" cy="5182235"/>
            <wp:effectExtent l="0" t="0" r="0" b="0"/>
            <wp:docPr id="157222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27610" name=""/>
                    <pic:cNvPicPr/>
                  </pic:nvPicPr>
                  <pic:blipFill>
                    <a:blip r:embed="rId54"/>
                    <a:stretch>
                      <a:fillRect/>
                    </a:stretch>
                  </pic:blipFill>
                  <pic:spPr>
                    <a:xfrm>
                      <a:off x="0" y="0"/>
                      <a:ext cx="6645910" cy="5182235"/>
                    </a:xfrm>
                    <a:prstGeom prst="rect">
                      <a:avLst/>
                    </a:prstGeom>
                  </pic:spPr>
                </pic:pic>
              </a:graphicData>
            </a:graphic>
          </wp:inline>
        </w:drawing>
      </w:r>
    </w:p>
    <w:p w14:paraId="3119D754" w14:textId="11510A8F" w:rsidR="00006957" w:rsidRDefault="00006957" w:rsidP="00006957">
      <w:r>
        <w:lastRenderedPageBreak/>
        <w:t>北美、EMEA和拉美是主要利润来源，但盈利结构不同。北美保留较多成品业务，收入规模大，也承担较高生产成本；拉美营业成本占比较低，能够以较小收入规模贡献较高利润。FY2025拉美营业利润率为59.1%，北美为25.9%，差异需要结合业务组合理解。</w:t>
      </w:r>
    </w:p>
    <w:p w14:paraId="476686B5" w14:textId="13A6EBEF" w:rsidR="00006957" w:rsidRDefault="00006957" w:rsidP="00006957">
      <w:r>
        <w:t>近期的主要矛盾，是部分地区收入增长不足以覆盖成本和经营投入。FY2025经营分部利润增长主要依靠北美；EMEA在最新一致口径下利润基本停滞，新增毛利润大部分被销售及管理费用增长吸收；亚太收入增长偏弱、成本上升，利润继续承压。拉美维持较高利润率，但美元利润受到汇率拖累。装瓶投资利润贡献较小，其规模下降还包含主动出售装瓶业务的影响。</w:t>
      </w:r>
    </w:p>
    <w:p w14:paraId="15A963E3" w14:textId="434ABBC0" w:rsidR="0041404E" w:rsidRDefault="00006957" w:rsidP="00006957">
      <w:r>
        <w:t>2026年上半年，北美和拉美继续贡献主要利润增长，亚太仍然偏弱。经营分部整体盈利有所改善，但地区之间尚未形成同步扩张，后续重点是收入增长能否持续覆盖原材料压力和营销投入。</w:t>
      </w:r>
    </w:p>
    <w:p w14:paraId="3F14623B" w14:textId="77777777" w:rsidR="004B553B" w:rsidRPr="00BF35B0" w:rsidRDefault="004B553B" w:rsidP="004B553B"/>
    <w:p w14:paraId="0C09523F" w14:textId="3C7E7BF2" w:rsidR="004B553B" w:rsidRDefault="00DF105C" w:rsidP="00DF105C">
      <w:pPr>
        <w:pStyle w:val="3"/>
      </w:pPr>
      <w:r>
        <w:t>经营现金流与资本投入</w:t>
      </w:r>
    </w:p>
    <w:p w14:paraId="5CA4E213" w14:textId="77777777" w:rsidR="004B553B" w:rsidRDefault="004B553B" w:rsidP="004B553B"/>
    <w:p w14:paraId="3C81CCAB" w14:textId="0599ED1F" w:rsidR="004B553B" w:rsidRDefault="00B56A9D" w:rsidP="00B56A9D">
      <w:pPr>
        <w:pStyle w:val="4"/>
      </w:pPr>
      <w:r w:rsidRPr="00B56A9D">
        <w:t>经营现金流</w:t>
      </w:r>
    </w:p>
    <w:p w14:paraId="6A8348C0" w14:textId="7B38EA8C" w:rsidR="00D21575" w:rsidRPr="00D21575" w:rsidRDefault="00D21575" w:rsidP="00D21575">
      <w:r w:rsidRPr="00D84E7A">
        <w:rPr>
          <w:b/>
        </w:rPr>
        <w:t>可口可乐的利润长期具有较好的现金支撑。FY2016—FY2023，经营现金流每年均高于合并净利润；FY2024—FY2025，两者明显背离，主要受到两笔大额付款影响：前者向美国税务机关缴纳税务诉讼保证金，后者支付</w:t>
      </w:r>
      <w:proofErr w:type="spellStart"/>
      <w:r w:rsidRPr="00D84E7A">
        <w:rPr>
          <w:b/>
        </w:rPr>
        <w:t>fairlife</w:t>
      </w:r>
      <w:proofErr w:type="spellEnd"/>
      <w:r w:rsidRPr="00D84E7A">
        <w:rPr>
          <w:b/>
        </w:rPr>
        <w:t>收购的或有对价。</w:t>
      </w:r>
      <w:r>
        <w:t>理解这两年的利润兑现，关键是区分日常经营产生现金的能力，以及历史税务和收购事项在当期形成的现金支出。</w:t>
      </w:r>
    </w:p>
    <w:p w14:paraId="69B3395F" w14:textId="56DCAFE6" w:rsidR="00D21575" w:rsidRDefault="00D21575" w:rsidP="00D21575">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38</w:t>
      </w:r>
      <w:r>
        <w:fldChar w:fldCharType="end"/>
      </w:r>
      <w:r>
        <w:rPr>
          <w:rFonts w:hint="eastAsia"/>
        </w:rPr>
        <w:t>：</w:t>
      </w:r>
      <w:r>
        <w:rPr>
          <w:rFonts w:hint="eastAsia"/>
        </w:rPr>
        <w:t>OCF</w:t>
      </w:r>
      <w:r>
        <w:rPr>
          <w:rFonts w:hint="eastAsia"/>
        </w:rPr>
        <w:t>转换率</w:t>
      </w:r>
    </w:p>
    <w:p w14:paraId="5A9586D3" w14:textId="6355419A" w:rsidR="004B553B" w:rsidRPr="00BF35B0" w:rsidRDefault="00D21575" w:rsidP="004B553B">
      <w:r w:rsidRPr="00D21575">
        <w:rPr>
          <w:noProof/>
        </w:rPr>
        <w:drawing>
          <wp:inline distT="0" distB="0" distL="0" distR="0" wp14:anchorId="58C2ADB3" wp14:editId="2ED2BF26">
            <wp:extent cx="5883024" cy="3395133"/>
            <wp:effectExtent l="0" t="0" r="0" b="0"/>
            <wp:docPr id="963407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7482" name=""/>
                    <pic:cNvPicPr/>
                  </pic:nvPicPr>
                  <pic:blipFill>
                    <a:blip r:embed="rId55"/>
                    <a:stretch>
                      <a:fillRect/>
                    </a:stretch>
                  </pic:blipFill>
                  <pic:spPr>
                    <a:xfrm>
                      <a:off x="0" y="0"/>
                      <a:ext cx="5897817" cy="3403670"/>
                    </a:xfrm>
                    <a:prstGeom prst="rect">
                      <a:avLst/>
                    </a:prstGeom>
                  </pic:spPr>
                </pic:pic>
              </a:graphicData>
            </a:graphic>
          </wp:inline>
        </w:drawing>
      </w:r>
    </w:p>
    <w:p w14:paraId="35622A2A" w14:textId="29824C8B" w:rsidR="004B553B" w:rsidRDefault="00903504" w:rsidP="004B553B">
      <w:r w:rsidRPr="00903504">
        <w:t>FY2017主要受到美国税改相关大额税费压低净利润的影响；FY2021的现金流高点，除经营恢复外，还受益于应收账款保理，以及疫情后年度奖金、营销费用付款较低。保理是将应收账款折价出售给金融机构，提前收到现金，因此会改善当期现金回收，但不能把保理出售额全部当作新增现金流。</w:t>
      </w:r>
    </w:p>
    <w:p w14:paraId="11F85B1D" w14:textId="279F3DE6" w:rsidR="004B553B" w:rsidRDefault="00903504" w:rsidP="004B553B">
      <w:r w:rsidRPr="00D84E7A">
        <w:rPr>
          <w:b/>
        </w:rPr>
        <w:lastRenderedPageBreak/>
        <w:t>FY2024经营现金流下降，主要是税务诉讼形成了大额现金占用。</w:t>
      </w:r>
      <w:r w:rsidRPr="00903504">
        <w:t xml:space="preserve"> 当年经营现金流减少47.94亿美元，而公司向美国税务机关缴纳的金额约为60亿美元，超过了全年现金流的降幅。这笔付款涉及2007—2009纳税年度的争议税款及利息，支付后列入“其他非流动资产”，并未等额计入当期所得税费用，因此出现净利润基本稳定、经营现金流大幅下降的结果。如果上诉成功，相应金额及利息可全部或部分退回；能否收回仍取决于诉讼结果。</w:t>
      </w:r>
    </w:p>
    <w:p w14:paraId="7FCC1071" w14:textId="48091695" w:rsidR="004B553B" w:rsidRPr="00BF35B0" w:rsidRDefault="00903504" w:rsidP="004B553B">
      <w:r w:rsidRPr="00D84E7A">
        <w:rPr>
          <w:b/>
        </w:rPr>
        <w:t>FY2025的主要矛盾，则是</w:t>
      </w:r>
      <w:proofErr w:type="spellStart"/>
      <w:r w:rsidRPr="00D84E7A">
        <w:rPr>
          <w:b/>
        </w:rPr>
        <w:t>fairlife</w:t>
      </w:r>
      <w:proofErr w:type="spellEnd"/>
      <w:r w:rsidRPr="00D84E7A">
        <w:rPr>
          <w:b/>
        </w:rPr>
        <w:t>相关费用确认与实际付款发生在不同年份。</w:t>
      </w:r>
      <w:r w:rsidRPr="00903504">
        <w:t>公司在2025年3月支付最终或有对价61.73亿美元，其中60.69亿美元计入经营现金流，另有1.04亿美元计入融资现金流。与此同时，</w:t>
      </w:r>
      <w:proofErr w:type="spellStart"/>
      <w:r w:rsidRPr="00903504">
        <w:t>fairlife</w:t>
      </w:r>
      <w:proofErr w:type="spellEnd"/>
      <w:r w:rsidRPr="00903504">
        <w:t>或有对价重估费用由FY2024的31.09亿美元降至FY2025的4700万美元，推动当期利润恢复。也就是说，利润端受益于费用减少，现金端却在结清此前累积的收购负债，这解释了为什么FY2025净利润增长23.4%，经营现金流仅增长8.9%。若仅加回这笔经营现金流中的付款，FY2025经营现金流为134.77亿美元，约相当于合并净利润的102.6%。</w:t>
      </w:r>
    </w:p>
    <w:p w14:paraId="0F23C2F0" w14:textId="0B0DC668" w:rsidR="00C837B6" w:rsidRDefault="00C837B6" w:rsidP="00C837B6">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39</w:t>
      </w:r>
      <w:r>
        <w:fldChar w:fldCharType="end"/>
      </w:r>
      <w:r>
        <w:rPr>
          <w:rFonts w:hint="eastAsia"/>
        </w:rPr>
        <w:t>：</w:t>
      </w:r>
      <w:proofErr w:type="spellStart"/>
      <w:r>
        <w:rPr>
          <w:rFonts w:hint="eastAsia"/>
        </w:rPr>
        <w:t>fairlife</w:t>
      </w:r>
      <w:proofErr w:type="spellEnd"/>
      <w:r>
        <w:rPr>
          <w:rFonts w:hint="eastAsia"/>
        </w:rPr>
        <w:t>付款进度</w:t>
      </w:r>
    </w:p>
    <w:p w14:paraId="529FC5FF" w14:textId="613844E9" w:rsidR="004B553B" w:rsidRDefault="00C837B6" w:rsidP="004B553B">
      <w:r w:rsidRPr="00C837B6">
        <w:rPr>
          <w:noProof/>
        </w:rPr>
        <w:drawing>
          <wp:inline distT="0" distB="0" distL="0" distR="0" wp14:anchorId="46B892DC" wp14:editId="55D611BB">
            <wp:extent cx="6087533" cy="2203284"/>
            <wp:effectExtent l="0" t="0" r="0" b="0"/>
            <wp:docPr id="1076476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76666" name=""/>
                    <pic:cNvPicPr/>
                  </pic:nvPicPr>
                  <pic:blipFill>
                    <a:blip r:embed="rId56"/>
                    <a:stretch>
                      <a:fillRect/>
                    </a:stretch>
                  </pic:blipFill>
                  <pic:spPr>
                    <a:xfrm>
                      <a:off x="0" y="0"/>
                      <a:ext cx="6106792" cy="2210254"/>
                    </a:xfrm>
                    <a:prstGeom prst="rect">
                      <a:avLst/>
                    </a:prstGeom>
                  </pic:spPr>
                </pic:pic>
              </a:graphicData>
            </a:graphic>
          </wp:inline>
        </w:drawing>
      </w:r>
    </w:p>
    <w:p w14:paraId="567BA6B8" w14:textId="60BEF369" w:rsidR="004B553B" w:rsidRDefault="00C43DFB" w:rsidP="004B553B">
      <w:proofErr w:type="spellStart"/>
      <w:r w:rsidRPr="00D84E7A">
        <w:rPr>
          <w:b/>
        </w:rPr>
        <w:t>fairlife</w:t>
      </w:r>
      <w:proofErr w:type="spellEnd"/>
      <w:r w:rsidRPr="00D84E7A">
        <w:rPr>
          <w:b/>
        </w:rPr>
        <w:t>付款集中在2025年一季度，随后经营现金流逐步恢复。</w:t>
      </w:r>
    </w:p>
    <w:p w14:paraId="60B7CDF0" w14:textId="77777777" w:rsidR="004B553B" w:rsidRDefault="004B553B" w:rsidP="004B553B"/>
    <w:p w14:paraId="06645C03" w14:textId="426D8BE2" w:rsidR="004B553B" w:rsidRDefault="009268AB" w:rsidP="009268AB">
      <w:pPr>
        <w:pStyle w:val="4"/>
      </w:pPr>
      <w:r>
        <w:rPr>
          <w:rFonts w:hint="eastAsia"/>
        </w:rPr>
        <w:t>资本开支</w:t>
      </w:r>
    </w:p>
    <w:p w14:paraId="603E78C6" w14:textId="77777777" w:rsidR="00FF049B" w:rsidRDefault="00FF049B" w:rsidP="00FF049B">
      <w:r w:rsidRPr="00D84E7A">
        <w:rPr>
          <w:b/>
        </w:rPr>
        <w:t>可口可乐的资本投入受到两股力量共同影响：装瓶业务再特许经营减少了集团直接承担的生产和配送投资，而乳品等业务扩张又带来了新的产能需求。</w:t>
      </w:r>
      <w:r>
        <w:t>近年资本开支逐步恢复，但投入结构已经发生变化，北美业务和Corporate所占比重上升，装瓶投资分部的比重下降。</w:t>
      </w:r>
    </w:p>
    <w:p w14:paraId="5D5AE76A" w14:textId="1C5D35C1" w:rsidR="00621C6E" w:rsidRDefault="00621C6E" w:rsidP="00621C6E">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40</w:t>
      </w:r>
      <w:r>
        <w:fldChar w:fldCharType="end"/>
      </w:r>
      <w:r>
        <w:rPr>
          <w:rFonts w:hint="eastAsia"/>
        </w:rPr>
        <w:t>：历年资本开支</w:t>
      </w:r>
    </w:p>
    <w:p w14:paraId="48494BC3" w14:textId="52A59A5C" w:rsidR="009268AB" w:rsidRDefault="00621C6E" w:rsidP="004B553B">
      <w:r w:rsidRPr="00621C6E">
        <w:rPr>
          <w:noProof/>
        </w:rPr>
        <w:drawing>
          <wp:inline distT="0" distB="0" distL="0" distR="0" wp14:anchorId="361FA393" wp14:editId="6D7B3D31">
            <wp:extent cx="5436815" cy="3295500"/>
            <wp:effectExtent l="0" t="0" r="0" b="0"/>
            <wp:docPr id="57172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29054" name="图片 1"/>
                    <pic:cNvPicPr/>
                  </pic:nvPicPr>
                  <pic:blipFill>
                    <a:blip r:embed="rId57">
                      <a:extLst>
                        <a:ext uri="{28A0092B-C50C-407E-A947-70E740481C1C}">
                          <a14:useLocalDpi xmlns:a14="http://schemas.microsoft.com/office/drawing/2010/main" val="0"/>
                        </a:ext>
                      </a:extLst>
                    </a:blip>
                    <a:stretch>
                      <a:fillRect/>
                    </a:stretch>
                  </pic:blipFill>
                  <pic:spPr>
                    <a:xfrm>
                      <a:off x="0" y="0"/>
                      <a:ext cx="5436815" cy="3295500"/>
                    </a:xfrm>
                    <a:prstGeom prst="rect">
                      <a:avLst/>
                    </a:prstGeom>
                  </pic:spPr>
                </pic:pic>
              </a:graphicData>
            </a:graphic>
          </wp:inline>
        </w:drawing>
      </w:r>
    </w:p>
    <w:p w14:paraId="1A28FD42" w14:textId="77777777" w:rsidR="004D2575" w:rsidRDefault="004D2575" w:rsidP="004D2575">
      <w:r>
        <w:t>FY2019—FY2023，资本开支约消耗经营现金流的一至两成，年度自由现金流大体处于84亿—113亿美元之间。这反映了KO合并层面的现金留存能力：大量装瓶、配送设施由独立装瓶商投资，KO自身的固定资产支出没有消耗掉大部分经营现金流。再特许经营将相应资本需求转移到装瓶伙伴，而整个可口可乐体系仍需持续投入生产、配送和终端设备。</w:t>
      </w:r>
    </w:p>
    <w:p w14:paraId="0D5C36FD" w14:textId="31888B2B" w:rsidR="009268AB" w:rsidRDefault="004D2575" w:rsidP="004D2575">
      <w:r>
        <w:t>FY2024—FY2025，资本开支占OCF的比例升至接近三成，主要受到OCF基数下降的影响。与FY2023相比，FY2025自由现金流减少44.51亿美元，其中经营现金流减少41.91亿美元，资本开支增加2.6亿美元。前文分析的美国税务诉讼付款及</w:t>
      </w:r>
      <w:proofErr w:type="spellStart"/>
      <w:r>
        <w:t>fairlife</w:t>
      </w:r>
      <w:proofErr w:type="spellEnd"/>
      <w:r>
        <w:t>或有对价支付，是理解现金流下降的关键；资本开支上升对自由现金流的影响相对有限。</w:t>
      </w:r>
    </w:p>
    <w:p w14:paraId="3194A477" w14:textId="40874DAA" w:rsidR="004D2575" w:rsidRDefault="004D2575" w:rsidP="004D2575">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41</w:t>
      </w:r>
      <w:r>
        <w:fldChar w:fldCharType="end"/>
      </w:r>
      <w:r>
        <w:rPr>
          <w:rFonts w:hint="eastAsia"/>
        </w:rPr>
        <w:t>：分部资本开支</w:t>
      </w:r>
      <w:r w:rsidR="00EE4896">
        <w:rPr>
          <w:rFonts w:hint="eastAsia"/>
        </w:rPr>
        <w:t>比例</w:t>
      </w:r>
    </w:p>
    <w:p w14:paraId="5905EE2C" w14:textId="21CD254D" w:rsidR="009268AB" w:rsidRDefault="004D2575" w:rsidP="004B553B">
      <w:r w:rsidRPr="004D2575">
        <w:rPr>
          <w:noProof/>
        </w:rPr>
        <w:drawing>
          <wp:inline distT="0" distB="0" distL="0" distR="0" wp14:anchorId="561CCE4B" wp14:editId="1CF4FCB6">
            <wp:extent cx="6645910" cy="2777490"/>
            <wp:effectExtent l="0" t="0" r="0" b="3810"/>
            <wp:docPr id="169576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1671" name=""/>
                    <pic:cNvPicPr/>
                  </pic:nvPicPr>
                  <pic:blipFill>
                    <a:blip r:embed="rId58"/>
                    <a:stretch>
                      <a:fillRect/>
                    </a:stretch>
                  </pic:blipFill>
                  <pic:spPr>
                    <a:xfrm>
                      <a:off x="0" y="0"/>
                      <a:ext cx="6645910" cy="2777490"/>
                    </a:xfrm>
                    <a:prstGeom prst="rect">
                      <a:avLst/>
                    </a:prstGeom>
                  </pic:spPr>
                </pic:pic>
              </a:graphicData>
            </a:graphic>
          </wp:inline>
        </w:drawing>
      </w:r>
    </w:p>
    <w:p w14:paraId="3178FB9E" w14:textId="3D3E782F" w:rsidR="007B56B5" w:rsidRDefault="007B56B5" w:rsidP="007B56B5">
      <w:r>
        <w:t>装瓶业务的进出，是历史资本开支波动的重要原因。 FY2016—FY2018，合并资本开支减少7.14亿美元，装瓶投资分部减少8.12亿美元，其他业务的增加部分抵消了装瓶投入下降。FY2019的反弹主要来自收购Costa</w:t>
      </w:r>
      <w:r>
        <w:lastRenderedPageBreak/>
        <w:t>及取得菲律宾装瓶业务控制权。</w:t>
      </w:r>
    </w:p>
    <w:p w14:paraId="0959A0E3" w14:textId="168037EF" w:rsidR="007B56B5" w:rsidRDefault="007B56B5" w:rsidP="007B56B5">
      <w:r>
        <w:t>近年的主要变化是投资重心转移。 FY2023—FY2025，北美与Corporate资本开支合计增加5.04亿美元，装瓶投资分部减少2.96亿美元，使集团资本开支的净增加额仅为2.6亿美元。到FY2025，北美与Corporate合计占资本开支59.4%，装瓶投资分部降至25.9%。</w:t>
      </w:r>
    </w:p>
    <w:p w14:paraId="4E7DD8B0" w14:textId="0D8784B2" w:rsidR="007B56B5" w:rsidRDefault="007B56B5" w:rsidP="007B56B5">
      <w:r>
        <w:t>这些投入对应不同资产需求。装瓶投资分部主要承担合并装瓶及配送设施的投入；地理分部包含浓缩液工厂、保留的成品制造设施等资产，EMEA还包含Costa门店。Corporate也持有浓缩液工厂及集团相关设施。</w:t>
      </w:r>
    </w:p>
    <w:p w14:paraId="2F79B7A2" w14:textId="7BC214FC" w:rsidR="009268AB" w:rsidRPr="00BF35B0" w:rsidRDefault="007B56B5" w:rsidP="007B56B5">
      <w:r>
        <w:t>乳品扩产提供了新增产能投入的具体例子。年报指出，多数现有生产设施可以通过增加设备、班次或扩建提高产量，但部分乳品需要专用设备，公司正在扩大乳品产能。2026年3月，公司又宣布计划投入6.5亿美元扩建</w:t>
      </w:r>
      <w:proofErr w:type="spellStart"/>
      <w:r>
        <w:t>fairlife</w:t>
      </w:r>
      <w:proofErr w:type="spellEnd"/>
      <w:r>
        <w:t>密歇根州工厂，新增两条生产线，目标于2028年开始商业生产。</w:t>
      </w:r>
    </w:p>
    <w:p w14:paraId="532AA12D" w14:textId="77777777" w:rsidR="004B553B" w:rsidRDefault="004B553B" w:rsidP="004B553B"/>
    <w:p w14:paraId="0764A706" w14:textId="225EED2D" w:rsidR="00BA2605" w:rsidRDefault="00BA2605" w:rsidP="004B553B">
      <w:r w:rsidRPr="00BA2605">
        <w:t>2026年上半年，经营现金流为75.43亿美元，资本开支6.84亿美元，自由现金流68.59亿美元，资本开支消耗经营现金流的9.1%。资本开支同比减少6700万美元，主要发生在装瓶投资分部；自由现金流的恢复主要来自经营现金流改善。</w:t>
      </w:r>
    </w:p>
    <w:p w14:paraId="3F58A9B8" w14:textId="3C6B3407" w:rsidR="00477954" w:rsidRDefault="00477954" w:rsidP="00477954">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42</w:t>
      </w:r>
      <w:r>
        <w:fldChar w:fldCharType="end"/>
      </w:r>
      <w:r>
        <w:rPr>
          <w:rFonts w:hint="eastAsia"/>
        </w:rPr>
        <w:t>：</w:t>
      </w:r>
      <w:r>
        <w:rPr>
          <w:rFonts w:hint="eastAsia"/>
        </w:rPr>
        <w:t>FY2026</w:t>
      </w:r>
      <w:r>
        <w:rPr>
          <w:rFonts w:hint="eastAsia"/>
        </w:rPr>
        <w:t>现金流与资本开支指引</w:t>
      </w:r>
    </w:p>
    <w:p w14:paraId="25761D22" w14:textId="4D9F3209" w:rsidR="004B553B" w:rsidRDefault="00477954" w:rsidP="004B553B">
      <w:r w:rsidRPr="00477954">
        <w:rPr>
          <w:noProof/>
        </w:rPr>
        <w:drawing>
          <wp:inline distT="0" distB="0" distL="0" distR="0" wp14:anchorId="6F4F7276" wp14:editId="57CD299E">
            <wp:extent cx="4258733" cy="1273403"/>
            <wp:effectExtent l="0" t="0" r="0" b="0"/>
            <wp:docPr id="2014568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8756" name=""/>
                    <pic:cNvPicPr/>
                  </pic:nvPicPr>
                  <pic:blipFill>
                    <a:blip r:embed="rId59"/>
                    <a:stretch>
                      <a:fillRect/>
                    </a:stretch>
                  </pic:blipFill>
                  <pic:spPr>
                    <a:xfrm>
                      <a:off x="0" y="0"/>
                      <a:ext cx="4311985" cy="1289326"/>
                    </a:xfrm>
                    <a:prstGeom prst="rect">
                      <a:avLst/>
                    </a:prstGeom>
                  </pic:spPr>
                </pic:pic>
              </a:graphicData>
            </a:graphic>
          </wp:inline>
        </w:drawing>
      </w:r>
    </w:p>
    <w:p w14:paraId="0DFE9A20" w14:textId="6897F83A" w:rsidR="004B2BE0" w:rsidRPr="00BF35B0" w:rsidRDefault="000B3D01" w:rsidP="004B2BE0">
      <w:r>
        <w:rPr>
          <w:rFonts w:hint="eastAsia"/>
        </w:rPr>
        <w:t>26</w:t>
      </w:r>
      <w:r w:rsidR="00EB76BA" w:rsidRPr="00EB76BA">
        <w:t>年初纪要中的OCF和FCF指引分别为144亿美元、122亿美元；2026Q2官方公告已分别上调至146亿美元、124亿美元，资本开支维持不变。</w:t>
      </w:r>
    </w:p>
    <w:p w14:paraId="37D2F90E" w14:textId="3080E8F6" w:rsidR="00BF35B0" w:rsidRDefault="000B3D01" w:rsidP="00BF35B0">
      <w:r w:rsidRPr="000B3D01">
        <w:t>对于预算用途，按管理层所述比例估算，自有装瓶业务相关投入约5.5亿美元，其余约16.5亿美元。</w:t>
      </w:r>
    </w:p>
    <w:p w14:paraId="175EEC60" w14:textId="6FB4C457" w:rsidR="002A0029" w:rsidRDefault="002A0029" w:rsidP="002A0029">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43</w:t>
      </w:r>
      <w:r>
        <w:fldChar w:fldCharType="end"/>
      </w:r>
      <w:r>
        <w:rPr>
          <w:rFonts w:hint="eastAsia"/>
        </w:rPr>
        <w:t>：资本开支用途</w:t>
      </w:r>
    </w:p>
    <w:p w14:paraId="33A9533F" w14:textId="10C10816" w:rsidR="00BF35B0" w:rsidRDefault="002A0029" w:rsidP="00BF35B0">
      <w:r w:rsidRPr="002A0029">
        <w:rPr>
          <w:noProof/>
        </w:rPr>
        <w:drawing>
          <wp:inline distT="0" distB="0" distL="0" distR="0" wp14:anchorId="585FFA6C" wp14:editId="01789E87">
            <wp:extent cx="5768352" cy="2480733"/>
            <wp:effectExtent l="0" t="0" r="0" b="0"/>
            <wp:docPr id="883847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7272" name=""/>
                    <pic:cNvPicPr/>
                  </pic:nvPicPr>
                  <pic:blipFill>
                    <a:blip r:embed="rId60"/>
                    <a:stretch>
                      <a:fillRect/>
                    </a:stretch>
                  </pic:blipFill>
                  <pic:spPr>
                    <a:xfrm>
                      <a:off x="0" y="0"/>
                      <a:ext cx="5796076" cy="2492656"/>
                    </a:xfrm>
                    <a:prstGeom prst="rect">
                      <a:avLst/>
                    </a:prstGeom>
                  </pic:spPr>
                </pic:pic>
              </a:graphicData>
            </a:graphic>
          </wp:inline>
        </w:drawing>
      </w:r>
    </w:p>
    <w:p w14:paraId="093A0E0A" w14:textId="77777777" w:rsidR="00BF35B0" w:rsidRDefault="00BF35B0" w:rsidP="00BF35B0"/>
    <w:p w14:paraId="304A1A41" w14:textId="77777777" w:rsidR="00D30086" w:rsidRDefault="00D30086" w:rsidP="00BF35B0"/>
    <w:p w14:paraId="511AC473" w14:textId="7E7DC1DB" w:rsidR="00D30086" w:rsidRDefault="00A3141C" w:rsidP="00A3141C">
      <w:pPr>
        <w:pStyle w:val="2"/>
      </w:pPr>
      <w:r>
        <w:rPr>
          <w:rFonts w:hint="eastAsia"/>
        </w:rPr>
        <w:t>基本面分析</w:t>
      </w:r>
    </w:p>
    <w:p w14:paraId="1CADD89F" w14:textId="55950D94" w:rsidR="00D30086" w:rsidRDefault="000C6877" w:rsidP="000C6877">
      <w:pPr>
        <w:pStyle w:val="4"/>
      </w:pPr>
      <w:r>
        <w:rPr>
          <w:rFonts w:hint="eastAsia"/>
        </w:rPr>
        <w:t>资产负债表</w:t>
      </w:r>
    </w:p>
    <w:p w14:paraId="3F49BFDB" w14:textId="4B750E97" w:rsidR="00A50FB8" w:rsidRPr="00020201" w:rsidRDefault="008E1E28" w:rsidP="00A50FB8">
      <w:r w:rsidRPr="008E1E28">
        <w:t>可口可乐的资产负债表体现了其商业模式的特点：直接持有的厂房设备占比有限，品牌收购形成的无形资产和商誉、对装瓶商等公司的股权投资，则占据较大份额。</w:t>
      </w:r>
    </w:p>
    <w:p w14:paraId="2DDC3A10" w14:textId="6A89EBA3" w:rsidR="002E254A" w:rsidRDefault="002E254A" w:rsidP="002E254A">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44</w:t>
      </w:r>
      <w:r>
        <w:fldChar w:fldCharType="end"/>
      </w:r>
      <w:r>
        <w:rPr>
          <w:rFonts w:hint="eastAsia"/>
        </w:rPr>
        <w:t>：资产负债表</w:t>
      </w:r>
      <w:r w:rsidR="008A68B2">
        <w:rPr>
          <w:rFonts w:hint="eastAsia"/>
        </w:rPr>
        <w:t>概</w:t>
      </w:r>
      <w:r>
        <w:rPr>
          <w:rFonts w:hint="eastAsia"/>
        </w:rPr>
        <w:t>览</w:t>
      </w:r>
    </w:p>
    <w:p w14:paraId="0B521DD6" w14:textId="7D47FB93" w:rsidR="00A50FB8" w:rsidRDefault="002E254A" w:rsidP="00A50FB8">
      <w:r w:rsidRPr="002E254A">
        <w:rPr>
          <w:noProof/>
        </w:rPr>
        <w:drawing>
          <wp:inline distT="0" distB="0" distL="0" distR="0" wp14:anchorId="4D8B3D46" wp14:editId="14D189F3">
            <wp:extent cx="6645910" cy="3038130"/>
            <wp:effectExtent l="0" t="0" r="0" b="0"/>
            <wp:docPr id="180077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7130" name="图片 1"/>
                    <pic:cNvPicPr/>
                  </pic:nvPicPr>
                  <pic:blipFill>
                    <a:blip r:embed="rId61"/>
                    <a:stretch>
                      <a:fillRect/>
                    </a:stretch>
                  </pic:blipFill>
                  <pic:spPr>
                    <a:xfrm>
                      <a:off x="0" y="0"/>
                      <a:ext cx="6645910" cy="3038130"/>
                    </a:xfrm>
                    <a:prstGeom prst="rect">
                      <a:avLst/>
                    </a:prstGeom>
                  </pic:spPr>
                </pic:pic>
              </a:graphicData>
            </a:graphic>
          </wp:inline>
        </w:drawing>
      </w:r>
    </w:p>
    <w:p w14:paraId="254F67F4" w14:textId="17F82E88" w:rsidR="00D41EBF" w:rsidRDefault="00D41EBF" w:rsidP="00D41EBF">
      <w:r>
        <w:t>FY2016至FY2025，KO总资产由872.70亿美元增至1,048.16亿美元。这段时期</w:t>
      </w:r>
      <w:r w:rsidR="00C71E6F">
        <w:rPr>
          <w:rFonts w:hint="eastAsia"/>
        </w:rPr>
        <w:t>，</w:t>
      </w:r>
      <w:r w:rsidR="00EC41AD">
        <w:rPr>
          <w:rFonts w:hint="eastAsia"/>
        </w:rPr>
        <w:t>公司</w:t>
      </w:r>
      <w:r w:rsidR="00C71E6F">
        <w:rPr>
          <w:rFonts w:hint="eastAsia"/>
        </w:rPr>
        <w:t>经历了</w:t>
      </w:r>
      <w:r w:rsidR="00C71E6F">
        <w:t>逐步出售装瓶业务，将部分生产、配送资产转交独立装瓶商，同时收购咖啡、乳品和运动饮料品牌，增加品牌资产及相关商誉。</w:t>
      </w:r>
    </w:p>
    <w:p w14:paraId="744047A6" w14:textId="07D8D54A" w:rsidR="00A04925" w:rsidRPr="000F5614" w:rsidRDefault="00E17FF5" w:rsidP="00A50FB8">
      <w:r w:rsidRPr="00934CD1">
        <w:rPr>
          <w:b/>
          <w:bCs/>
        </w:rPr>
        <w:t>FY2016—FY2018，资产重组的主线是装瓶业务再特许经营。</w:t>
      </w:r>
      <w:r w:rsidR="00A04925" w:rsidRPr="00A04925">
        <w:t>KO此前曾将大量北美装瓶业务纳入集团，包括2010年收购原Coca-Cola Enterprises的北美业务。因此，FY2016的资产负债表仍承载着较多装瓶生产、配送及相关经营资产。随着再特许经营推进，公司于2017年基本完成美国装瓶业务再特许经营，2018年出售加拿大装瓶业务，完成这一轮北美业务调整。</w:t>
      </w:r>
      <w:r w:rsidR="000F5614" w:rsidRPr="000F5614">
        <w:rPr>
          <w:b/>
          <w:bCs/>
        </w:rPr>
        <w:t>装瓶业务出售不意味着总资产按被出售资产规模等额减少，而是部分资本由直接经营资产转为现金和股权投资。</w:t>
      </w:r>
    </w:p>
    <w:p w14:paraId="4ADD2DC9" w14:textId="285F4027" w:rsidR="00A04925" w:rsidRPr="00697A53" w:rsidRDefault="00934CD1" w:rsidP="00A50FB8">
      <w:r w:rsidRPr="00934CD1">
        <w:rPr>
          <w:b/>
          <w:bCs/>
        </w:rPr>
        <w:t>FY2019—FY2021，资本配置重点进一步转向品类扩张和品牌控制权。</w:t>
      </w:r>
      <w:r w:rsidR="00697A53" w:rsidRPr="00697A53">
        <w:t>2019年收购Costa咖啡业务、2020年收购</w:t>
      </w:r>
      <w:proofErr w:type="spellStart"/>
      <w:r w:rsidR="00697A53" w:rsidRPr="00697A53">
        <w:t>fairlife</w:t>
      </w:r>
      <w:proofErr w:type="spellEnd"/>
      <w:r w:rsidR="00697A53" w:rsidRPr="00697A53">
        <w:t>剩余股权、2021年收购BODYARMOR剩余股权，使KO在咖啡、乳品和运动饮料领域扩大布局。</w:t>
      </w:r>
      <w:r w:rsidR="00B26CEE" w:rsidRPr="00B26CEE">
        <w:t>这一战略在资产端最明显的表现，是商标和商誉扩大。FY2018至FY2021，无限期商标与商誉合计由207.91亿美元增至338.28亿美元；同期总资产由832.16亿美元增至943.54亿美元。</w:t>
      </w:r>
    </w:p>
    <w:p w14:paraId="7D9B2C30" w14:textId="3CF728A3" w:rsidR="00A04925" w:rsidRDefault="006926EA" w:rsidP="00A50FB8">
      <w:r w:rsidRPr="006926EA">
        <w:t>融资端则始终保留了较大规模的借款，并持续向股东分配现金。 公司没有随着装瓶业务出售而全面去杠杆，而是在品牌收购、分红回购和债务管理之间配置资金。</w:t>
      </w:r>
    </w:p>
    <w:p w14:paraId="46F3B401" w14:textId="7971416D" w:rsidR="002562FA" w:rsidRDefault="00C65D86" w:rsidP="00A50FB8">
      <w:r w:rsidRPr="00C65D86">
        <w:t xml:space="preserve">FY2022—FY2025，报表逐渐反映出既有投资的回报差异，同时国际装瓶业务继续退出。 </w:t>
      </w:r>
      <w:proofErr w:type="spellStart"/>
      <w:r w:rsidRPr="00C65D86">
        <w:t>fairlife</w:t>
      </w:r>
      <w:proofErr w:type="spellEnd"/>
      <w:r w:rsidRPr="00C65D86">
        <w:t>经营表现对应的追加收购对价不断上升，最终于2025年支付；BODYARMOR则因经营预期下修，在2024年和2025年分别计提7.6亿美元、9.6亿美元商标减值。</w:t>
      </w:r>
    </w:p>
    <w:p w14:paraId="4D6B6021" w14:textId="77777777" w:rsidR="00736DEE" w:rsidRDefault="00736DEE" w:rsidP="00736DEE">
      <w:r w:rsidRPr="00D04F09">
        <w:lastRenderedPageBreak/>
        <w:t>与此同时，KO继续出售国际装瓶业务，2024年完成菲律宾等装瓶业务再特许经营，2025年又将拟出售的非洲装瓶业务转入待售。后者使原本分散在固定资产、商誉等科目的资产集中列入待售资产</w:t>
      </w:r>
      <w:r>
        <w:rPr>
          <w:rFonts w:hint="eastAsia"/>
        </w:rPr>
        <w:t>。</w:t>
      </w:r>
    </w:p>
    <w:p w14:paraId="2B539D85" w14:textId="77777777" w:rsidR="00736DEE" w:rsidRDefault="00736DEE" w:rsidP="00736DEE">
      <w:r w:rsidRPr="007842B5">
        <w:t>近两年的资金占用，还受到两项历史义务集中结算的影响：2024年支付60亿美元税务诉讼押金，2025年支付61.73亿美元</w:t>
      </w:r>
      <w:proofErr w:type="spellStart"/>
      <w:r w:rsidRPr="007842B5">
        <w:t>fairlife</w:t>
      </w:r>
      <w:proofErr w:type="spellEnd"/>
      <w:r w:rsidRPr="007842B5">
        <w:t>收购尾款。</w:t>
      </w:r>
      <w:r w:rsidRPr="007E55B6">
        <w:t>税务押金将现金转为其他非流动资产，</w:t>
      </w:r>
      <w:proofErr w:type="spellStart"/>
      <w:r w:rsidRPr="007E55B6">
        <w:t>fairlife</w:t>
      </w:r>
      <w:proofErr w:type="spellEnd"/>
      <w:r w:rsidRPr="007E55B6">
        <w:t>尾款支付则主要体现为现金流出及已确认收购负债的结算。</w:t>
      </w:r>
    </w:p>
    <w:p w14:paraId="0FFF3A47" w14:textId="77777777" w:rsidR="00736DEE" w:rsidRPr="006C7637" w:rsidRDefault="00736DEE" w:rsidP="00A50FB8"/>
    <w:p w14:paraId="40ED691A" w14:textId="77777777" w:rsidR="006F44DC" w:rsidRPr="00D20AC9" w:rsidRDefault="006F44DC" w:rsidP="00D20AC9">
      <w:pPr>
        <w:pStyle w:val="a9"/>
        <w:numPr>
          <w:ilvl w:val="0"/>
          <w:numId w:val="14"/>
        </w:numPr>
        <w:rPr>
          <w:b/>
          <w:bCs/>
          <w:sz w:val="21"/>
          <w:szCs w:val="22"/>
        </w:rPr>
      </w:pPr>
      <w:proofErr w:type="spellStart"/>
      <w:r w:rsidRPr="00D20AC9">
        <w:rPr>
          <w:b/>
          <w:bCs/>
          <w:sz w:val="21"/>
          <w:szCs w:val="22"/>
        </w:rPr>
        <w:t>fairlife</w:t>
      </w:r>
      <w:proofErr w:type="spellEnd"/>
      <w:r w:rsidRPr="00D20AC9">
        <w:rPr>
          <w:b/>
          <w:bCs/>
          <w:sz w:val="21"/>
          <w:szCs w:val="22"/>
        </w:rPr>
        <w:t>：业务成长强劲，但增长成果有一部分要通过追加收购款分给原股东。</w:t>
      </w:r>
    </w:p>
    <w:p w14:paraId="44ED3922" w14:textId="227E76E2" w:rsidR="006F44DC" w:rsidRPr="00D20AC9" w:rsidRDefault="006F44DC" w:rsidP="00D20AC9">
      <w:pPr>
        <w:ind w:leftChars="282" w:left="620"/>
        <w:rPr>
          <w:sz w:val="21"/>
          <w:szCs w:val="22"/>
        </w:rPr>
      </w:pPr>
      <w:proofErr w:type="spellStart"/>
      <w:r w:rsidRPr="00D20AC9">
        <w:rPr>
          <w:sz w:val="21"/>
          <w:szCs w:val="22"/>
        </w:rPr>
        <w:t>fairlife</w:t>
      </w:r>
      <w:proofErr w:type="spellEnd"/>
      <w:r w:rsidRPr="00D20AC9">
        <w:rPr>
          <w:sz w:val="21"/>
          <w:szCs w:val="22"/>
        </w:rPr>
        <w:t>主要经营超滤牛奶和高蛋白乳饮料。KO在2020年收购其剩余57.5%股权时，支付的现金净额为9.79亿美元，同时约定：如果</w:t>
      </w:r>
      <w:proofErr w:type="spellStart"/>
      <w:r w:rsidRPr="00D20AC9">
        <w:rPr>
          <w:sz w:val="21"/>
          <w:szCs w:val="22"/>
        </w:rPr>
        <w:t>fairlife</w:t>
      </w:r>
      <w:proofErr w:type="spellEnd"/>
      <w:r w:rsidRPr="00D20AC9">
        <w:rPr>
          <w:sz w:val="21"/>
          <w:szCs w:val="22"/>
        </w:rPr>
        <w:t>达到后续财务目标，KO还须支付追加对价，金额按经营结果计算，没有上限。</w:t>
      </w:r>
    </w:p>
    <w:p w14:paraId="644EA3CA" w14:textId="60984674" w:rsidR="006F44DC" w:rsidRDefault="00E75FDB" w:rsidP="00D20AC9">
      <w:pPr>
        <w:ind w:leftChars="282" w:left="620"/>
        <w:rPr>
          <w:sz w:val="21"/>
          <w:szCs w:val="22"/>
        </w:rPr>
      </w:pPr>
      <w:r w:rsidRPr="00D20AC9">
        <w:rPr>
          <w:sz w:val="21"/>
          <w:szCs w:val="22"/>
        </w:rPr>
        <w:t>随后，经营发展使这笔追加款远超最初估计。2023年</w:t>
      </w:r>
      <w:proofErr w:type="spellStart"/>
      <w:r w:rsidRPr="00D20AC9">
        <w:rPr>
          <w:sz w:val="21"/>
          <w:szCs w:val="22"/>
        </w:rPr>
        <w:t>fairlife</w:t>
      </w:r>
      <w:proofErr w:type="spellEnd"/>
      <w:r w:rsidRPr="00D20AC9">
        <w:rPr>
          <w:sz w:val="21"/>
          <w:szCs w:val="22"/>
        </w:rPr>
        <w:t>销量增长15%，连续第九年实现两位数增长；</w:t>
      </w:r>
      <w:r w:rsidR="005023C2" w:rsidRPr="00D20AC9">
        <w:rPr>
          <w:sz w:val="21"/>
          <w:szCs w:val="22"/>
        </w:rPr>
        <w:t xml:space="preserve"> </w:t>
      </w:r>
      <w:r w:rsidRPr="00D20AC9">
        <w:rPr>
          <w:sz w:val="21"/>
          <w:szCs w:val="22"/>
        </w:rPr>
        <w:t>2025Q2</w:t>
      </w:r>
      <w:r w:rsidR="005023C2">
        <w:rPr>
          <w:rFonts w:hint="eastAsia"/>
          <w:sz w:val="21"/>
          <w:szCs w:val="22"/>
        </w:rPr>
        <w:t>显示</w:t>
      </w:r>
      <w:proofErr w:type="spellStart"/>
      <w:r w:rsidRPr="00D20AC9">
        <w:rPr>
          <w:sz w:val="21"/>
          <w:szCs w:val="22"/>
        </w:rPr>
        <w:t>fairlife</w:t>
      </w:r>
      <w:proofErr w:type="spellEnd"/>
      <w:r w:rsidRPr="00D20AC9">
        <w:rPr>
          <w:sz w:val="21"/>
          <w:szCs w:val="22"/>
        </w:rPr>
        <w:t>当季继续实现两位数销量增长，但受到产能约束。</w:t>
      </w:r>
      <w:r w:rsidR="00003120">
        <w:rPr>
          <w:rFonts w:hint="eastAsia"/>
          <w:sz w:val="21"/>
          <w:szCs w:val="22"/>
        </w:rPr>
        <w:t>。</w:t>
      </w:r>
    </w:p>
    <w:p w14:paraId="741D9AF3" w14:textId="5FF8CEDE" w:rsidR="00003120" w:rsidRDefault="004351CD" w:rsidP="00D20AC9">
      <w:pPr>
        <w:ind w:leftChars="282" w:left="620"/>
        <w:rPr>
          <w:sz w:val="21"/>
          <w:szCs w:val="22"/>
        </w:rPr>
      </w:pPr>
      <w:proofErr w:type="spellStart"/>
      <w:r w:rsidRPr="004351CD">
        <w:rPr>
          <w:sz w:val="21"/>
          <w:szCs w:val="22"/>
        </w:rPr>
        <w:t>fairlife</w:t>
      </w:r>
      <w:proofErr w:type="spellEnd"/>
      <w:r w:rsidRPr="004351CD">
        <w:rPr>
          <w:sz w:val="21"/>
          <w:szCs w:val="22"/>
        </w:rPr>
        <w:t>发展较好，却使KO在2024年确认31.09亿美元追加对价重估费用，压低当期利润；2025年付款又压低现金流。</w:t>
      </w:r>
    </w:p>
    <w:p w14:paraId="221D613C" w14:textId="42B28043" w:rsidR="004351CD" w:rsidRPr="00293995" w:rsidRDefault="00293995" w:rsidP="00293995">
      <w:pPr>
        <w:pStyle w:val="a9"/>
        <w:numPr>
          <w:ilvl w:val="0"/>
          <w:numId w:val="14"/>
        </w:numPr>
        <w:rPr>
          <w:b/>
          <w:bCs/>
          <w:sz w:val="21"/>
          <w:szCs w:val="22"/>
        </w:rPr>
      </w:pPr>
      <w:r w:rsidRPr="00293995">
        <w:rPr>
          <w:b/>
          <w:bCs/>
          <w:sz w:val="21"/>
          <w:szCs w:val="22"/>
        </w:rPr>
        <w:t>BODYARMOR：收购时寄予较高增长预期，后来需要下调对未来收益的估计。</w:t>
      </w:r>
    </w:p>
    <w:p w14:paraId="4657DB6E" w14:textId="6EEA451D" w:rsidR="00293995" w:rsidRPr="00CC1DB2" w:rsidRDefault="00C47056" w:rsidP="00CC1DB2">
      <w:pPr>
        <w:ind w:leftChars="282" w:left="620"/>
        <w:rPr>
          <w:sz w:val="21"/>
          <w:szCs w:val="22"/>
        </w:rPr>
      </w:pPr>
      <w:r w:rsidRPr="00CC1DB2">
        <w:rPr>
          <w:sz w:val="21"/>
          <w:szCs w:val="22"/>
        </w:rPr>
        <w:t>2021年，KO以约56亿美元收购BODYARMOR剩余85%股权。当时公司披露，该品牌在可监测零售渠道中已成为第二大运动饮料品牌，增长约50%，零售额超过14亿美元。</w:t>
      </w:r>
    </w:p>
    <w:p w14:paraId="0D3942D7" w14:textId="2B6722AE" w:rsidR="00C47056" w:rsidRPr="00CC1DB2" w:rsidRDefault="006C7637" w:rsidP="00CC1DB2">
      <w:pPr>
        <w:ind w:leftChars="282" w:left="620"/>
        <w:rPr>
          <w:sz w:val="21"/>
          <w:szCs w:val="22"/>
        </w:rPr>
      </w:pPr>
      <w:r w:rsidRPr="00CC1DB2">
        <w:rPr>
          <w:sz w:val="21"/>
          <w:szCs w:val="22"/>
        </w:rPr>
        <w:t>后来，公司发现原有预期需要下调。2024年的商标减值既涉及经营预测调整，也涉及折现率提高；2025年的进一步减值则涉及品类长期增速预期放缓、竞争加剧，以及创新和国际扩张计划调整。</w:t>
      </w:r>
    </w:p>
    <w:p w14:paraId="0D6C7B21" w14:textId="53AB3CA7" w:rsidR="00C47056" w:rsidRPr="00CC1DB2" w:rsidRDefault="00A85975" w:rsidP="00CC1DB2">
      <w:pPr>
        <w:ind w:leftChars="282" w:left="620"/>
        <w:rPr>
          <w:sz w:val="21"/>
          <w:szCs w:val="22"/>
        </w:rPr>
      </w:pPr>
      <w:r w:rsidRPr="00CC1DB2">
        <w:rPr>
          <w:sz w:val="21"/>
          <w:szCs w:val="22"/>
        </w:rPr>
        <w:t>2025Q4纪要仍提到BODYARMOR商标销量增长</w:t>
      </w:r>
      <w:r w:rsidRPr="00CC1DB2">
        <w:rPr>
          <w:rFonts w:hint="eastAsia"/>
          <w:sz w:val="21"/>
          <w:szCs w:val="22"/>
        </w:rPr>
        <w:t>，但</w:t>
      </w:r>
      <w:r w:rsidRPr="00CC1DB2">
        <w:rPr>
          <w:sz w:val="21"/>
          <w:szCs w:val="22"/>
        </w:rPr>
        <w:t>两年累计商标减值17.2亿美元，约相当于最初确认商标价值42亿美元的41%。</w:t>
      </w:r>
    </w:p>
    <w:p w14:paraId="72A86308" w14:textId="77777777" w:rsidR="00A04925" w:rsidRDefault="00A04925" w:rsidP="00A50FB8"/>
    <w:p w14:paraId="0588D8A6" w14:textId="334E0D0D" w:rsidR="002D3B68" w:rsidRPr="002D3B68" w:rsidRDefault="002D3B68" w:rsidP="002D3B68">
      <w:pPr>
        <w:pStyle w:val="a9"/>
        <w:numPr>
          <w:ilvl w:val="0"/>
          <w:numId w:val="17"/>
        </w:numPr>
        <w:rPr>
          <w:b/>
          <w:bCs/>
        </w:rPr>
      </w:pPr>
      <w:r w:rsidRPr="002D3B68">
        <w:rPr>
          <w:rFonts w:hint="eastAsia"/>
          <w:b/>
          <w:bCs/>
        </w:rPr>
        <w:t>净现金</w:t>
      </w:r>
    </w:p>
    <w:p w14:paraId="7DF56026" w14:textId="7FBE326C" w:rsidR="00D87272" w:rsidRDefault="00D87272" w:rsidP="00D87272">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45</w:t>
      </w:r>
      <w:r>
        <w:fldChar w:fldCharType="end"/>
      </w:r>
      <w:r>
        <w:rPr>
          <w:rFonts w:hint="eastAsia"/>
        </w:rPr>
        <w:t>：净现金分析</w:t>
      </w:r>
    </w:p>
    <w:p w14:paraId="11790142" w14:textId="75D65098" w:rsidR="002D3B68" w:rsidRDefault="00D87272" w:rsidP="00A50FB8">
      <w:r w:rsidRPr="00D87272">
        <w:rPr>
          <w:noProof/>
        </w:rPr>
        <w:drawing>
          <wp:inline distT="0" distB="0" distL="0" distR="0" wp14:anchorId="39DEDC11" wp14:editId="4FB964E9">
            <wp:extent cx="5833533" cy="3416736"/>
            <wp:effectExtent l="0" t="0" r="0" b="0"/>
            <wp:docPr id="87709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8914" name=""/>
                    <pic:cNvPicPr/>
                  </pic:nvPicPr>
                  <pic:blipFill>
                    <a:blip r:embed="rId62"/>
                    <a:stretch>
                      <a:fillRect/>
                    </a:stretch>
                  </pic:blipFill>
                  <pic:spPr>
                    <a:xfrm>
                      <a:off x="0" y="0"/>
                      <a:ext cx="5851345" cy="3427168"/>
                    </a:xfrm>
                    <a:prstGeom prst="rect">
                      <a:avLst/>
                    </a:prstGeom>
                  </pic:spPr>
                </pic:pic>
              </a:graphicData>
            </a:graphic>
          </wp:inline>
        </w:drawing>
      </w:r>
    </w:p>
    <w:p w14:paraId="08CCE6C5" w14:textId="2E0FC573" w:rsidR="002D3B68" w:rsidRDefault="00BE3BCF" w:rsidP="00A50FB8">
      <w:r w:rsidRPr="00BE3BCF">
        <w:t>历史上净债务的扩大，很大程度上来自现金储备减少。</w:t>
      </w:r>
      <w:r w:rsidR="001E0D37" w:rsidRPr="001E0D37">
        <w:t>收购是这一阶段的重要资金用途。</w:t>
      </w:r>
    </w:p>
    <w:p w14:paraId="53A2378A" w14:textId="77777777" w:rsidR="002D3B68" w:rsidRDefault="002D3B68" w:rsidP="00A50FB8"/>
    <w:p w14:paraId="474A67FC" w14:textId="3392A4CD" w:rsidR="00A50FB8" w:rsidRPr="0093695B" w:rsidRDefault="0093695B" w:rsidP="0093695B">
      <w:pPr>
        <w:pStyle w:val="a9"/>
        <w:numPr>
          <w:ilvl w:val="0"/>
          <w:numId w:val="17"/>
        </w:numPr>
        <w:rPr>
          <w:b/>
          <w:bCs/>
        </w:rPr>
      </w:pPr>
      <w:r w:rsidRPr="0093695B">
        <w:rPr>
          <w:rFonts w:hint="eastAsia"/>
          <w:b/>
          <w:bCs/>
        </w:rPr>
        <w:t>运营资本</w:t>
      </w:r>
    </w:p>
    <w:p w14:paraId="592ECD1D" w14:textId="0E8F7D03" w:rsidR="00D60E3E" w:rsidRDefault="00D60E3E" w:rsidP="00D60E3E">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46</w:t>
      </w:r>
      <w:r>
        <w:fldChar w:fldCharType="end"/>
      </w:r>
      <w:r>
        <w:rPr>
          <w:rFonts w:hint="eastAsia"/>
        </w:rPr>
        <w:t>：</w:t>
      </w:r>
      <w:r w:rsidR="006F12B6">
        <w:rPr>
          <w:rFonts w:hint="eastAsia"/>
        </w:rPr>
        <w:t>净</w:t>
      </w:r>
      <w:r>
        <w:rPr>
          <w:rFonts w:hint="eastAsia"/>
        </w:rPr>
        <w:t>运营资本</w:t>
      </w:r>
    </w:p>
    <w:p w14:paraId="0C84083D" w14:textId="7630D6A7" w:rsidR="00A50FB8" w:rsidRDefault="00D60E3E" w:rsidP="00A50FB8">
      <w:r w:rsidRPr="00D60E3E">
        <w:rPr>
          <w:noProof/>
        </w:rPr>
        <w:drawing>
          <wp:inline distT="0" distB="0" distL="0" distR="0" wp14:anchorId="4AA7C638" wp14:editId="3DF9D7F2">
            <wp:extent cx="5892800" cy="3400775"/>
            <wp:effectExtent l="0" t="0" r="0" b="3175"/>
            <wp:docPr id="1738964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4650" name=""/>
                    <pic:cNvPicPr/>
                  </pic:nvPicPr>
                  <pic:blipFill>
                    <a:blip r:embed="rId63"/>
                    <a:stretch>
                      <a:fillRect/>
                    </a:stretch>
                  </pic:blipFill>
                  <pic:spPr>
                    <a:xfrm>
                      <a:off x="0" y="0"/>
                      <a:ext cx="5910078" cy="3410746"/>
                    </a:xfrm>
                    <a:prstGeom prst="rect">
                      <a:avLst/>
                    </a:prstGeom>
                  </pic:spPr>
                </pic:pic>
              </a:graphicData>
            </a:graphic>
          </wp:inline>
        </w:drawing>
      </w:r>
    </w:p>
    <w:p w14:paraId="403CCFE5" w14:textId="7CB05C70" w:rsidR="00A50FB8" w:rsidRDefault="00F972D1" w:rsidP="00A50FB8">
      <w:r w:rsidRPr="00F972D1">
        <w:t>FY2021—FY2025，调整后的净运营资本大致稳定在负53亿至负57亿美元。 同期公司收入扩大，但期末经营资金净占用没有同步增加。从资金结构看，贸易应付款、营销及薪酬应计费用等，持续抵补了应收账款、存货和预付款所占用的资金。</w:t>
      </w:r>
    </w:p>
    <w:p w14:paraId="5E8F2E3B" w14:textId="160C18F5" w:rsidR="006E3320" w:rsidRDefault="00F972D1" w:rsidP="00A50FB8">
      <w:r w:rsidRPr="00F972D1">
        <w:lastRenderedPageBreak/>
        <w:t>从更长历史看，FY2016—FY2020净运营资本逐渐转负，</w:t>
      </w:r>
      <w:r w:rsidRPr="00A17BB5">
        <w:rPr>
          <w:b/>
          <w:bCs/>
        </w:rPr>
        <w:t>发生在装瓶业务再特许经营、品牌收购和经营结构调整同时推进的时期</w:t>
      </w:r>
      <w:r w:rsidRPr="00F972D1">
        <w:t>。</w:t>
      </w:r>
    </w:p>
    <w:p w14:paraId="3CEB78CB" w14:textId="77777777" w:rsidR="00072611" w:rsidRDefault="00072611" w:rsidP="00A50FB8"/>
    <w:p w14:paraId="32453FCD" w14:textId="0B89B4D8" w:rsidR="006E3320" w:rsidRPr="00072611" w:rsidRDefault="00072611" w:rsidP="00072611">
      <w:pPr>
        <w:pStyle w:val="a9"/>
        <w:numPr>
          <w:ilvl w:val="0"/>
          <w:numId w:val="21"/>
        </w:numPr>
        <w:rPr>
          <w:b/>
          <w:bCs/>
        </w:rPr>
      </w:pPr>
      <w:r w:rsidRPr="00072611">
        <w:rPr>
          <w:rFonts w:hint="eastAsia"/>
          <w:b/>
          <w:bCs/>
        </w:rPr>
        <w:t>周转效率</w:t>
      </w:r>
    </w:p>
    <w:p w14:paraId="3815C7C4" w14:textId="1A33E286" w:rsidR="00072611" w:rsidRDefault="00072611" w:rsidP="00072611">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47</w:t>
      </w:r>
      <w:r>
        <w:fldChar w:fldCharType="end"/>
      </w:r>
      <w:r>
        <w:rPr>
          <w:rFonts w:hint="eastAsia"/>
        </w:rPr>
        <w:t>：周转天数</w:t>
      </w:r>
    </w:p>
    <w:p w14:paraId="09A5994F" w14:textId="1C32B3C3" w:rsidR="006E3320" w:rsidRDefault="00072611" w:rsidP="00A50FB8">
      <w:r w:rsidRPr="00072611">
        <w:rPr>
          <w:noProof/>
        </w:rPr>
        <w:drawing>
          <wp:inline distT="0" distB="0" distL="0" distR="0" wp14:anchorId="602700F3" wp14:editId="51788DA2">
            <wp:extent cx="5469467" cy="3197752"/>
            <wp:effectExtent l="0" t="0" r="4445" b="3175"/>
            <wp:docPr id="8945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9370" name=""/>
                    <pic:cNvPicPr/>
                  </pic:nvPicPr>
                  <pic:blipFill>
                    <a:blip r:embed="rId64"/>
                    <a:stretch>
                      <a:fillRect/>
                    </a:stretch>
                  </pic:blipFill>
                  <pic:spPr>
                    <a:xfrm>
                      <a:off x="0" y="0"/>
                      <a:ext cx="5506332" cy="3219306"/>
                    </a:xfrm>
                    <a:prstGeom prst="rect">
                      <a:avLst/>
                    </a:prstGeom>
                  </pic:spPr>
                </pic:pic>
              </a:graphicData>
            </a:graphic>
          </wp:inline>
        </w:drawing>
      </w:r>
    </w:p>
    <w:p w14:paraId="405E2C2C" w14:textId="550D523C" w:rsidR="003B5D56" w:rsidRDefault="00667C64" w:rsidP="00A50FB8">
      <w:r w:rsidRPr="00667C64">
        <w:t>相对可比的FY2019—FY202</w:t>
      </w:r>
      <w:r w:rsidR="00275C4B">
        <w:rPr>
          <w:rFonts w:hint="eastAsia"/>
        </w:rPr>
        <w:t>5</w:t>
      </w:r>
      <w:r w:rsidRPr="00667C64">
        <w:t>，现金转换周期由36.6天缩短至</w:t>
      </w:r>
      <w:r w:rsidR="00275C4B">
        <w:rPr>
          <w:rFonts w:hint="eastAsia"/>
        </w:rPr>
        <w:t>5.7</w:t>
      </w:r>
      <w:r w:rsidRPr="00667C64">
        <w:t>天</w:t>
      </w:r>
      <w:r w:rsidR="004D202B">
        <w:rPr>
          <w:rFonts w:hint="eastAsia"/>
        </w:rPr>
        <w:t>；</w:t>
      </w:r>
      <w:r w:rsidRPr="00667C64">
        <w:t>应收账款周转天数由37.5天下降至2</w:t>
      </w:r>
      <w:r w:rsidR="00275C4B">
        <w:rPr>
          <w:rFonts w:hint="eastAsia"/>
        </w:rPr>
        <w:t>5.2</w:t>
      </w:r>
      <w:r w:rsidRPr="00667C64">
        <w:t>天，应付账款周转天数由81.4天上升至110.</w:t>
      </w:r>
      <w:r w:rsidR="00275C4B">
        <w:rPr>
          <w:rFonts w:hint="eastAsia"/>
        </w:rPr>
        <w:t>3</w:t>
      </w:r>
      <w:r w:rsidRPr="00667C64">
        <w:t>天，两者共同缩短了资金缺口；存货周转天数则由80.5天增加至</w:t>
      </w:r>
      <w:r w:rsidR="0026500C">
        <w:rPr>
          <w:rFonts w:hint="eastAsia"/>
        </w:rPr>
        <w:t>90.8</w:t>
      </w:r>
      <w:r w:rsidRPr="00667C64">
        <w:t>天。</w:t>
      </w:r>
    </w:p>
    <w:p w14:paraId="49021B19" w14:textId="77777777" w:rsidR="006B24D1" w:rsidRPr="006E1B0D" w:rsidRDefault="006B24D1" w:rsidP="00A50FB8"/>
    <w:p w14:paraId="6B71E502" w14:textId="3CFEB55F" w:rsidR="006B24D1" w:rsidRPr="00333AAF" w:rsidRDefault="00333AAF" w:rsidP="00333AAF">
      <w:pPr>
        <w:pStyle w:val="a9"/>
        <w:numPr>
          <w:ilvl w:val="0"/>
          <w:numId w:val="21"/>
        </w:numPr>
        <w:rPr>
          <w:b/>
          <w:bCs/>
        </w:rPr>
      </w:pPr>
      <w:r w:rsidRPr="00333AAF">
        <w:rPr>
          <w:rFonts w:hint="eastAsia"/>
          <w:b/>
          <w:bCs/>
        </w:rPr>
        <w:t>资产结构</w:t>
      </w:r>
    </w:p>
    <w:p w14:paraId="36F95A23" w14:textId="75FE7658" w:rsidR="003B5D56" w:rsidRDefault="00917737" w:rsidP="00A50FB8">
      <w:r w:rsidRPr="00917737">
        <w:rPr>
          <w:noProof/>
        </w:rPr>
        <w:lastRenderedPageBreak/>
        <w:drawing>
          <wp:inline distT="0" distB="0" distL="0" distR="0" wp14:anchorId="3E0EFD2A" wp14:editId="3FF5E6BA">
            <wp:extent cx="6645910" cy="4065905"/>
            <wp:effectExtent l="0" t="0" r="0" b="0"/>
            <wp:docPr id="1845179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9343" name=""/>
                    <pic:cNvPicPr/>
                  </pic:nvPicPr>
                  <pic:blipFill>
                    <a:blip r:embed="rId65"/>
                    <a:stretch>
                      <a:fillRect/>
                    </a:stretch>
                  </pic:blipFill>
                  <pic:spPr>
                    <a:xfrm>
                      <a:off x="0" y="0"/>
                      <a:ext cx="6645910" cy="4065905"/>
                    </a:xfrm>
                    <a:prstGeom prst="rect">
                      <a:avLst/>
                    </a:prstGeom>
                  </pic:spPr>
                </pic:pic>
              </a:graphicData>
            </a:graphic>
          </wp:inline>
        </w:drawing>
      </w:r>
    </w:p>
    <w:p w14:paraId="07397E5E" w14:textId="3231E371" w:rsidR="003B5D56" w:rsidRDefault="00D21FDD" w:rsidP="00A50FB8">
      <w:r w:rsidRPr="00D21FDD">
        <w:t>固定资产长期只占总资产一成左右，而权益法等投资通常占两成左右。</w:t>
      </w:r>
      <w:r w:rsidR="00DE42F7" w:rsidRPr="00DE42F7">
        <w:t>FY2018至FY2021，商标等无形资产与商誉合计占比由25.9%升至36.7%，对应Costa、</w:t>
      </w:r>
      <w:proofErr w:type="spellStart"/>
      <w:r w:rsidR="00DE42F7" w:rsidRPr="00DE42F7">
        <w:t>fairlife</w:t>
      </w:r>
      <w:proofErr w:type="spellEnd"/>
      <w:r w:rsidR="00DE42F7" w:rsidRPr="00DE42F7">
        <w:t>和BODYARMOR等收购。</w:t>
      </w:r>
    </w:p>
    <w:p w14:paraId="1317D729" w14:textId="0840E58E" w:rsidR="006E3320" w:rsidRDefault="008E7069" w:rsidP="00A50FB8">
      <w:r w:rsidRPr="008E7069">
        <w:rPr>
          <w:b/>
          <w:bCs/>
        </w:rPr>
        <w:t>轻生产资产的经营模式，仍然需要对品牌收购和体系投资承担资本回报责任。</w:t>
      </w:r>
      <w:r w:rsidRPr="008E7069">
        <w:t>固定资产占比较低，使KO较少直接承担整个体系的生产配送投入；但收购形成的商标、商誉，以及长期股权投资，依然占用大量资本。</w:t>
      </w:r>
      <w:r w:rsidR="009E3FD7" w:rsidRPr="009E3FD7">
        <w:t>前者需要被收购品牌未来的盈利兑现，后者需要持股企业通过经营收益和分红创造回报。</w:t>
      </w:r>
    </w:p>
    <w:p w14:paraId="780065D2" w14:textId="1B9A61E4" w:rsidR="00A50FB8" w:rsidRDefault="00A50FB8" w:rsidP="00A50FB8"/>
    <w:p w14:paraId="424F1D21" w14:textId="749283D7" w:rsidR="00A50FB8" w:rsidRDefault="00310F6E" w:rsidP="00310F6E">
      <w:pPr>
        <w:pStyle w:val="4"/>
      </w:pPr>
      <w:r>
        <w:rPr>
          <w:rFonts w:hint="eastAsia"/>
        </w:rPr>
        <w:lastRenderedPageBreak/>
        <w:t>利润表</w:t>
      </w:r>
    </w:p>
    <w:p w14:paraId="48897ACE" w14:textId="6FC8879D" w:rsidR="00D90BA8" w:rsidRDefault="00D90BA8" w:rsidP="00D90BA8">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48</w:t>
      </w:r>
      <w:r>
        <w:fldChar w:fldCharType="end"/>
      </w:r>
      <w:r>
        <w:rPr>
          <w:rFonts w:hint="eastAsia"/>
        </w:rPr>
        <w:t>：合并营业利润</w:t>
      </w:r>
    </w:p>
    <w:p w14:paraId="701D4DC8" w14:textId="3E84560F" w:rsidR="00A50FB8" w:rsidRDefault="00D90BA8" w:rsidP="00A50FB8">
      <w:r w:rsidRPr="00D90BA8">
        <w:rPr>
          <w:noProof/>
        </w:rPr>
        <w:drawing>
          <wp:inline distT="0" distB="0" distL="0" distR="0" wp14:anchorId="75E65F3A" wp14:editId="4458D098">
            <wp:extent cx="6645910" cy="3502025"/>
            <wp:effectExtent l="0" t="0" r="0" b="3175"/>
            <wp:docPr id="67298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4672" name=""/>
                    <pic:cNvPicPr/>
                  </pic:nvPicPr>
                  <pic:blipFill>
                    <a:blip r:embed="rId66"/>
                    <a:stretch>
                      <a:fillRect/>
                    </a:stretch>
                  </pic:blipFill>
                  <pic:spPr>
                    <a:xfrm>
                      <a:off x="0" y="0"/>
                      <a:ext cx="6645910" cy="3502025"/>
                    </a:xfrm>
                    <a:prstGeom prst="rect">
                      <a:avLst/>
                    </a:prstGeom>
                  </pic:spPr>
                </pic:pic>
              </a:graphicData>
            </a:graphic>
          </wp:inline>
        </w:drawing>
      </w:r>
    </w:p>
    <w:p w14:paraId="03F7B886" w14:textId="6CED5D18" w:rsidR="00D90BA8" w:rsidRDefault="00D90BA8" w:rsidP="00D90BA8">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49</w:t>
      </w:r>
      <w:r>
        <w:fldChar w:fldCharType="end"/>
      </w:r>
      <w:r>
        <w:rPr>
          <w:rFonts w:hint="eastAsia"/>
        </w:rPr>
        <w:t>：净利润</w:t>
      </w:r>
    </w:p>
    <w:p w14:paraId="2F3DE6D8" w14:textId="5B2383F0" w:rsidR="00A50FB8" w:rsidRDefault="00D90BA8" w:rsidP="00A50FB8">
      <w:r w:rsidRPr="00D90BA8">
        <w:rPr>
          <w:noProof/>
        </w:rPr>
        <w:drawing>
          <wp:inline distT="0" distB="0" distL="0" distR="0" wp14:anchorId="7C8963D4" wp14:editId="3659C4CD">
            <wp:extent cx="6645910" cy="3033395"/>
            <wp:effectExtent l="0" t="0" r="0" b="1905"/>
            <wp:docPr id="1040543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43457" name=""/>
                    <pic:cNvPicPr/>
                  </pic:nvPicPr>
                  <pic:blipFill>
                    <a:blip r:embed="rId67"/>
                    <a:stretch>
                      <a:fillRect/>
                    </a:stretch>
                  </pic:blipFill>
                  <pic:spPr>
                    <a:xfrm>
                      <a:off x="0" y="0"/>
                      <a:ext cx="6645910" cy="3033395"/>
                    </a:xfrm>
                    <a:prstGeom prst="rect">
                      <a:avLst/>
                    </a:prstGeom>
                  </pic:spPr>
                </pic:pic>
              </a:graphicData>
            </a:graphic>
          </wp:inline>
        </w:drawing>
      </w:r>
    </w:p>
    <w:p w14:paraId="38DBEF88" w14:textId="564C129E" w:rsidR="00D30086" w:rsidRDefault="00E93FB5" w:rsidP="00BF35B0">
      <w:r w:rsidRPr="00E93FB5">
        <w:t>FY2024，资产及股权处置收益抵消了部分营业利润下降，归母净利润基本持平；FY2025营业利润明显恢复，但其他损益减少、净利息费用增加，使归母净利润增速低于营业利润增速。</w:t>
      </w:r>
    </w:p>
    <w:p w14:paraId="37717690" w14:textId="77777777" w:rsidR="00D30086" w:rsidRDefault="00D30086" w:rsidP="00BF35B0"/>
    <w:p w14:paraId="68980BC9" w14:textId="4D10965F" w:rsidR="00D30086" w:rsidRPr="00E0691A" w:rsidRDefault="00E0691A" w:rsidP="00E0691A">
      <w:pPr>
        <w:pStyle w:val="a9"/>
        <w:numPr>
          <w:ilvl w:val="0"/>
          <w:numId w:val="21"/>
        </w:numPr>
        <w:rPr>
          <w:b/>
          <w:bCs/>
        </w:rPr>
      </w:pPr>
      <w:r w:rsidRPr="00E0691A">
        <w:rPr>
          <w:rFonts w:hint="eastAsia"/>
          <w:b/>
          <w:bCs/>
        </w:rPr>
        <w:t>权益法投资</w:t>
      </w:r>
    </w:p>
    <w:p w14:paraId="7471C708" w14:textId="060F8565" w:rsidR="00D30086" w:rsidRDefault="000B0A01" w:rsidP="00BF35B0">
      <w:r w:rsidRPr="000B0A01">
        <w:t>权益法投资应当拆成“装瓶伙伴股权、饮料品牌股权及其他合资投资”来理解，其中 Monster 的分量很大。</w:t>
      </w:r>
    </w:p>
    <w:p w14:paraId="1459CA61" w14:textId="77E3555F" w:rsidR="0031290A" w:rsidRDefault="0031290A" w:rsidP="0031290A">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50</w:t>
      </w:r>
      <w:r>
        <w:fldChar w:fldCharType="end"/>
      </w:r>
      <w:r>
        <w:rPr>
          <w:rFonts w:hint="eastAsia"/>
        </w:rPr>
        <w:t>：权益法投资结构</w:t>
      </w:r>
    </w:p>
    <w:p w14:paraId="67434C37" w14:textId="0F25D885" w:rsidR="00FA0C11" w:rsidRDefault="0031290A" w:rsidP="00BF35B0">
      <w:r w:rsidRPr="0031290A">
        <w:rPr>
          <w:noProof/>
        </w:rPr>
        <w:drawing>
          <wp:inline distT="0" distB="0" distL="0" distR="0" wp14:anchorId="39F0167F" wp14:editId="74FB6A0D">
            <wp:extent cx="6645910" cy="4763135"/>
            <wp:effectExtent l="0" t="0" r="0" b="0"/>
            <wp:docPr id="9739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1436" name=""/>
                    <pic:cNvPicPr/>
                  </pic:nvPicPr>
                  <pic:blipFill>
                    <a:blip r:embed="rId68"/>
                    <a:stretch>
                      <a:fillRect/>
                    </a:stretch>
                  </pic:blipFill>
                  <pic:spPr>
                    <a:xfrm>
                      <a:off x="0" y="0"/>
                      <a:ext cx="6645910" cy="4763135"/>
                    </a:xfrm>
                    <a:prstGeom prst="rect">
                      <a:avLst/>
                    </a:prstGeom>
                  </pic:spPr>
                </pic:pic>
              </a:graphicData>
            </a:graphic>
          </wp:inline>
        </w:drawing>
      </w:r>
    </w:p>
    <w:p w14:paraId="0B2F4595" w14:textId="1369B702" w:rsidR="00FA0C11" w:rsidRDefault="00B36AD8" w:rsidP="00BF35B0">
      <w:r w:rsidRPr="00B36AD8">
        <w:t>FY2025末，KO权益法投资账面价值为202.35亿美元。年报逐项列示了七家上市公司的持仓，合计占69.2%；剩余30.8%包含AC Bebidas等其他投资，没有完整的逐家公司金额拆分。</w:t>
      </w:r>
    </w:p>
    <w:p w14:paraId="236F85B1" w14:textId="038C9CDF" w:rsidR="00251B1B" w:rsidRDefault="00251B1B" w:rsidP="00251B1B">
      <w:r>
        <w:t>Monster属于品牌经营投资。KO年末持有其约21%股权，部分可口可乐体系装瓶商参与Monster产品的分销。因此，KO既通过商业合作连接能量饮料市场，也通过持股分享其利润；Monster自身的收入并不整体并入KO收入。</w:t>
      </w:r>
    </w:p>
    <w:p w14:paraId="0868A382" w14:textId="48D50DEC" w:rsidR="00251B1B" w:rsidRDefault="00251B1B" w:rsidP="00251B1B">
      <w:r>
        <w:t>装瓶商股权则连接着KO的生产和分销网络。 FY2025末，KO持有CCEP、Coca-Cola FEMSA、Coca-Cola HBC及日本装瓶公司的股权分别约为18%、28%、22%和24%。这些企业购买浓缩液、生产成品并服务当地渠道，其经营同时影响KO的产品销售和投资收益。</w:t>
      </w:r>
    </w:p>
    <w:p w14:paraId="2EA75A0C" w14:textId="1BED79FB" w:rsidR="00B36AD8" w:rsidRDefault="00251B1B" w:rsidP="00251B1B">
      <w:r>
        <w:t>AC Bebidas是Arca Continental旗下的饮料业务平台，KO持股约20%。2017年，KO将美国西南装瓶业务等投入这一平台，取得初始确认价值29.60亿美元的股权。这说明，再特许经营有时会将直接经营资产转换为合作伙伴股权，使KO继续参与下游利润。</w:t>
      </w:r>
    </w:p>
    <w:p w14:paraId="4EB9ED46" w14:textId="079FFCD7" w:rsidR="00DA384F" w:rsidRDefault="00DA384F" w:rsidP="00DA384F">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51</w:t>
      </w:r>
      <w:r>
        <w:fldChar w:fldCharType="end"/>
      </w:r>
      <w:r>
        <w:rPr>
          <w:rFonts w:hint="eastAsia"/>
        </w:rPr>
        <w:t>：权益法投资收益</w:t>
      </w:r>
    </w:p>
    <w:p w14:paraId="70FF2CE7" w14:textId="45DBC241" w:rsidR="00B36AD8" w:rsidRDefault="00DA384F" w:rsidP="00BF35B0">
      <w:r w:rsidRPr="00DA384F">
        <w:rPr>
          <w:noProof/>
        </w:rPr>
        <w:drawing>
          <wp:inline distT="0" distB="0" distL="0" distR="0" wp14:anchorId="1AB82323" wp14:editId="55B2FB50">
            <wp:extent cx="6645910" cy="3837940"/>
            <wp:effectExtent l="0" t="0" r="0" b="0"/>
            <wp:docPr id="1244593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3446" name=""/>
                    <pic:cNvPicPr/>
                  </pic:nvPicPr>
                  <pic:blipFill>
                    <a:blip r:embed="rId69"/>
                    <a:stretch>
                      <a:fillRect/>
                    </a:stretch>
                  </pic:blipFill>
                  <pic:spPr>
                    <a:xfrm>
                      <a:off x="0" y="0"/>
                      <a:ext cx="6645910" cy="3837940"/>
                    </a:xfrm>
                    <a:prstGeom prst="rect">
                      <a:avLst/>
                    </a:prstGeom>
                  </pic:spPr>
                </pic:pic>
              </a:graphicData>
            </a:graphic>
          </wp:inline>
        </w:drawing>
      </w:r>
    </w:p>
    <w:p w14:paraId="7C28EEB2" w14:textId="1AC32E62" w:rsidR="00B36AD8" w:rsidRDefault="00367ED0" w:rsidP="00BF35B0">
      <w:r w:rsidRPr="00367ED0">
        <w:t>近年的权益法收益增长快于资本账面规模增长。</w:t>
      </w:r>
      <w:r w:rsidR="00D447B1" w:rsidRPr="00D447B1">
        <w:t>FY2025确认权益法收益20.31亿美元，收到分红9.93亿美元，分红约相当于当年确认收益的48.9%。</w:t>
      </w:r>
    </w:p>
    <w:p w14:paraId="5609608B" w14:textId="77777777" w:rsidR="00FA0C11" w:rsidRDefault="00FA0C11" w:rsidP="00BF35B0"/>
    <w:p w14:paraId="07AE78A2" w14:textId="321B624B" w:rsidR="00AE7752" w:rsidRPr="00A601EE" w:rsidRDefault="00A601EE" w:rsidP="00A601EE">
      <w:pPr>
        <w:pStyle w:val="a9"/>
        <w:numPr>
          <w:ilvl w:val="0"/>
          <w:numId w:val="21"/>
        </w:numPr>
        <w:rPr>
          <w:b/>
          <w:bCs/>
        </w:rPr>
      </w:pPr>
      <w:r w:rsidRPr="00A601EE">
        <w:rPr>
          <w:rFonts w:hint="eastAsia"/>
          <w:b/>
          <w:bCs/>
        </w:rPr>
        <w:t>ROIC</w:t>
      </w:r>
    </w:p>
    <w:p w14:paraId="2A8DDF49" w14:textId="572A2ADE" w:rsidR="00F52CBC" w:rsidRDefault="00F52CBC" w:rsidP="00F52CBC">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52</w:t>
      </w:r>
      <w:r>
        <w:fldChar w:fldCharType="end"/>
      </w:r>
      <w:r>
        <w:rPr>
          <w:rFonts w:hint="eastAsia"/>
        </w:rPr>
        <w:t>：经营</w:t>
      </w:r>
      <w:r>
        <w:rPr>
          <w:rFonts w:hint="eastAsia"/>
        </w:rPr>
        <w:t>ROIC</w:t>
      </w:r>
    </w:p>
    <w:p w14:paraId="54270774" w14:textId="671BB40F" w:rsidR="00AE7752" w:rsidRDefault="00F52CBC" w:rsidP="00BF35B0">
      <w:r w:rsidRPr="00F52CBC">
        <w:rPr>
          <w:noProof/>
        </w:rPr>
        <w:drawing>
          <wp:inline distT="0" distB="0" distL="0" distR="0" wp14:anchorId="2CD7A347" wp14:editId="6C0477F3">
            <wp:extent cx="6596570" cy="3660140"/>
            <wp:effectExtent l="0" t="0" r="0" b="0"/>
            <wp:docPr id="98929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9911" name="图片 1"/>
                    <pic:cNvPicPr/>
                  </pic:nvPicPr>
                  <pic:blipFill>
                    <a:blip r:embed="rId70">
                      <a:extLst>
                        <a:ext uri="{28A0092B-C50C-407E-A947-70E740481C1C}">
                          <a14:useLocalDpi xmlns:a14="http://schemas.microsoft.com/office/drawing/2010/main" val="0"/>
                        </a:ext>
                      </a:extLst>
                    </a:blip>
                    <a:stretch>
                      <a:fillRect/>
                    </a:stretch>
                  </pic:blipFill>
                  <pic:spPr>
                    <a:xfrm>
                      <a:off x="0" y="0"/>
                      <a:ext cx="6596570" cy="3660140"/>
                    </a:xfrm>
                    <a:prstGeom prst="rect">
                      <a:avLst/>
                    </a:prstGeom>
                  </pic:spPr>
                </pic:pic>
              </a:graphicData>
            </a:graphic>
          </wp:inline>
        </w:drawing>
      </w:r>
    </w:p>
    <w:p w14:paraId="0E29B813" w14:textId="77777777" w:rsidR="00AE7752" w:rsidRDefault="00AE7752" w:rsidP="00BF35B0"/>
    <w:p w14:paraId="7239ADDF" w14:textId="30E55A5E" w:rsidR="00AE7752" w:rsidRDefault="00AE38DD" w:rsidP="00C21ECD">
      <w:pPr>
        <w:pStyle w:val="4"/>
      </w:pPr>
      <w:r>
        <w:rPr>
          <w:rFonts w:hint="eastAsia"/>
        </w:rPr>
        <w:t>现金流量表</w:t>
      </w:r>
    </w:p>
    <w:p w14:paraId="36937B31" w14:textId="3488512D" w:rsidR="00AE7752" w:rsidRDefault="0026002C" w:rsidP="00BF35B0">
      <w:r w:rsidRPr="0026002C">
        <w:t>KO的现金分配以分红为核心，回购主要抵消股份激励等带来的稀释，长期净缩股贡献较小。 FY2016—FY2025，公司累计产生755.60亿美元自由现金流，支付现金股息728.57亿美元；扣除员工行权带来的股票发行收入后，净购股支出为75.53亿美元。</w:t>
      </w:r>
    </w:p>
    <w:p w14:paraId="5E46D0C6" w14:textId="3D465D8B" w:rsidR="00C00EC3" w:rsidRDefault="00C00EC3" w:rsidP="00C00EC3">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53</w:t>
      </w:r>
      <w:r>
        <w:fldChar w:fldCharType="end"/>
      </w:r>
      <w:r>
        <w:rPr>
          <w:rFonts w:hint="eastAsia"/>
        </w:rPr>
        <w:t>：主要现金流向</w:t>
      </w:r>
    </w:p>
    <w:p w14:paraId="71D19FF2" w14:textId="671EA504" w:rsidR="00AE7752" w:rsidRDefault="00C00EC3" w:rsidP="00BF35B0">
      <w:r w:rsidRPr="00C00EC3">
        <w:rPr>
          <w:noProof/>
        </w:rPr>
        <w:drawing>
          <wp:inline distT="0" distB="0" distL="0" distR="0" wp14:anchorId="1DAD656B" wp14:editId="2080CE09">
            <wp:extent cx="6645910" cy="4019550"/>
            <wp:effectExtent l="0" t="0" r="0" b="6350"/>
            <wp:docPr id="2025227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7331" name=""/>
                    <pic:cNvPicPr/>
                  </pic:nvPicPr>
                  <pic:blipFill>
                    <a:blip r:embed="rId71"/>
                    <a:stretch>
                      <a:fillRect/>
                    </a:stretch>
                  </pic:blipFill>
                  <pic:spPr>
                    <a:xfrm>
                      <a:off x="0" y="0"/>
                      <a:ext cx="6645910" cy="4019550"/>
                    </a:xfrm>
                    <a:prstGeom prst="rect">
                      <a:avLst/>
                    </a:prstGeom>
                  </pic:spPr>
                </pic:pic>
              </a:graphicData>
            </a:graphic>
          </wp:inline>
        </w:drawing>
      </w:r>
    </w:p>
    <w:p w14:paraId="0AA3971F" w14:textId="1EB85BC4" w:rsidR="00AE7752" w:rsidRDefault="00EF70F1" w:rsidP="00BF35B0">
      <w:r w:rsidRPr="00EF70F1">
        <w:rPr>
          <w:noProof/>
        </w:rPr>
        <w:drawing>
          <wp:inline distT="0" distB="0" distL="0" distR="0" wp14:anchorId="21A528CD" wp14:editId="382EBF34">
            <wp:extent cx="6645910" cy="3406140"/>
            <wp:effectExtent l="0" t="0" r="0" b="0"/>
            <wp:docPr id="178410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6563" name=""/>
                    <pic:cNvPicPr/>
                  </pic:nvPicPr>
                  <pic:blipFill>
                    <a:blip r:embed="rId72"/>
                    <a:stretch>
                      <a:fillRect/>
                    </a:stretch>
                  </pic:blipFill>
                  <pic:spPr>
                    <a:xfrm>
                      <a:off x="0" y="0"/>
                      <a:ext cx="6645910" cy="3406140"/>
                    </a:xfrm>
                    <a:prstGeom prst="rect">
                      <a:avLst/>
                    </a:prstGeom>
                  </pic:spPr>
                </pic:pic>
              </a:graphicData>
            </a:graphic>
          </wp:inline>
        </w:drawing>
      </w:r>
    </w:p>
    <w:p w14:paraId="13EE7F64" w14:textId="6BD9A8D0" w:rsidR="00D649FF" w:rsidRDefault="00D649FF" w:rsidP="00D649FF">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54</w:t>
      </w:r>
      <w:r>
        <w:fldChar w:fldCharType="end"/>
      </w:r>
      <w:r>
        <w:rPr>
          <w:rFonts w:hint="eastAsia"/>
        </w:rPr>
        <w:t>：历年现金分红</w:t>
      </w:r>
    </w:p>
    <w:p w14:paraId="4CB213FF" w14:textId="71D1C634" w:rsidR="00AE7752" w:rsidRDefault="00D649FF" w:rsidP="00BF35B0">
      <w:r w:rsidRPr="00D649FF">
        <w:rPr>
          <w:noProof/>
        </w:rPr>
        <w:drawing>
          <wp:inline distT="0" distB="0" distL="0" distR="0" wp14:anchorId="17ADBD37" wp14:editId="149AC024">
            <wp:extent cx="5240867" cy="3416128"/>
            <wp:effectExtent l="0" t="0" r="4445" b="635"/>
            <wp:docPr id="1915935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35389" name=""/>
                    <pic:cNvPicPr/>
                  </pic:nvPicPr>
                  <pic:blipFill>
                    <a:blip r:embed="rId73"/>
                    <a:stretch>
                      <a:fillRect/>
                    </a:stretch>
                  </pic:blipFill>
                  <pic:spPr>
                    <a:xfrm>
                      <a:off x="0" y="0"/>
                      <a:ext cx="5265481" cy="3432172"/>
                    </a:xfrm>
                    <a:prstGeom prst="rect">
                      <a:avLst/>
                    </a:prstGeom>
                  </pic:spPr>
                </pic:pic>
              </a:graphicData>
            </a:graphic>
          </wp:inline>
        </w:drawing>
      </w:r>
    </w:p>
    <w:p w14:paraId="6EF4E8B4" w14:textId="1BF49DF9" w:rsidR="00AE7752" w:rsidRDefault="00CE4F73" w:rsidP="00BF35B0">
      <w:r w:rsidRPr="00CE4F73">
        <w:t>FY2016—FY2025，每股股息由1.40美元增至2.04美元，年复合增长约4.3%。2026年，公司将季度股息提高至0.53美元，对应年化2.12美元，增幅约3.9%，为连续第64年提高年度股息。</w:t>
      </w:r>
    </w:p>
    <w:p w14:paraId="11E580EF" w14:textId="77777777" w:rsidR="00344BCE" w:rsidRDefault="00344BCE" w:rsidP="00BF35B0"/>
    <w:p w14:paraId="68B6944F" w14:textId="20A13D29" w:rsidR="00F310C4" w:rsidRDefault="00F310C4" w:rsidP="00F310C4">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55</w:t>
      </w:r>
      <w:r>
        <w:fldChar w:fldCharType="end"/>
      </w:r>
      <w:r>
        <w:rPr>
          <w:rFonts w:hint="eastAsia"/>
        </w:rPr>
        <w:t>：回购与股本</w:t>
      </w:r>
    </w:p>
    <w:p w14:paraId="6BF2243E" w14:textId="2E9BB832" w:rsidR="00AE7752" w:rsidRDefault="00F310C4" w:rsidP="00BF35B0">
      <w:r w:rsidRPr="00F310C4">
        <w:rPr>
          <w:noProof/>
        </w:rPr>
        <w:drawing>
          <wp:inline distT="0" distB="0" distL="0" distR="0" wp14:anchorId="26F63028" wp14:editId="2D01A7BF">
            <wp:extent cx="6645910" cy="3606165"/>
            <wp:effectExtent l="0" t="0" r="0" b="635"/>
            <wp:docPr id="882620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20713" name=""/>
                    <pic:cNvPicPr/>
                  </pic:nvPicPr>
                  <pic:blipFill>
                    <a:blip r:embed="rId74"/>
                    <a:stretch>
                      <a:fillRect/>
                    </a:stretch>
                  </pic:blipFill>
                  <pic:spPr>
                    <a:xfrm>
                      <a:off x="0" y="0"/>
                      <a:ext cx="6645910" cy="3606165"/>
                    </a:xfrm>
                    <a:prstGeom prst="rect">
                      <a:avLst/>
                    </a:prstGeom>
                  </pic:spPr>
                </pic:pic>
              </a:graphicData>
            </a:graphic>
          </wp:inline>
        </w:drawing>
      </w:r>
    </w:p>
    <w:p w14:paraId="226E7D10" w14:textId="1F9040CA" w:rsidR="00AE7752" w:rsidRDefault="00252864" w:rsidP="00BF35B0">
      <w:r w:rsidRPr="00252864">
        <w:t>KO已发行普通股长期约70.40亿股，回购股票留在库藏股中，员工行权和股权激励又会重新交付股份。回购</w:t>
      </w:r>
      <w:r>
        <w:rPr>
          <w:rFonts w:hint="eastAsia"/>
        </w:rPr>
        <w:t>主要</w:t>
      </w:r>
      <w:r w:rsidRPr="00252864">
        <w:t>抵消员工激励等带来的新增流通股份。</w:t>
      </w:r>
    </w:p>
    <w:p w14:paraId="7A9BAF4E" w14:textId="1DD2C42C" w:rsidR="00167BE1" w:rsidRDefault="00167BE1" w:rsidP="00167BE1">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56</w:t>
      </w:r>
      <w:r>
        <w:fldChar w:fldCharType="end"/>
      </w:r>
      <w:r>
        <w:rPr>
          <w:rFonts w:hint="eastAsia"/>
        </w:rPr>
        <w:t>：</w:t>
      </w:r>
      <w:r>
        <w:rPr>
          <w:rFonts w:hint="eastAsia"/>
        </w:rPr>
        <w:t>SBC</w:t>
      </w:r>
    </w:p>
    <w:p w14:paraId="41A143D7" w14:textId="77777777" w:rsidR="00167BE1" w:rsidRDefault="00167BE1" w:rsidP="00167BE1">
      <w:r w:rsidRPr="005E1125">
        <w:rPr>
          <w:noProof/>
        </w:rPr>
        <w:drawing>
          <wp:inline distT="0" distB="0" distL="0" distR="0" wp14:anchorId="5B38A60A" wp14:editId="2746B6C2">
            <wp:extent cx="5723467" cy="3480782"/>
            <wp:effectExtent l="0" t="0" r="4445" b="0"/>
            <wp:docPr id="745624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24273" name=""/>
                    <pic:cNvPicPr/>
                  </pic:nvPicPr>
                  <pic:blipFill>
                    <a:blip r:embed="rId75"/>
                    <a:stretch>
                      <a:fillRect/>
                    </a:stretch>
                  </pic:blipFill>
                  <pic:spPr>
                    <a:xfrm>
                      <a:off x="0" y="0"/>
                      <a:ext cx="5744148" cy="3493359"/>
                    </a:xfrm>
                    <a:prstGeom prst="rect">
                      <a:avLst/>
                    </a:prstGeom>
                  </pic:spPr>
                </pic:pic>
              </a:graphicData>
            </a:graphic>
          </wp:inline>
        </w:drawing>
      </w:r>
    </w:p>
    <w:p w14:paraId="62B4565C" w14:textId="78BAAA94" w:rsidR="00167BE1" w:rsidRDefault="00167BE1" w:rsidP="00167BE1">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57</w:t>
      </w:r>
      <w:r>
        <w:fldChar w:fldCharType="end"/>
      </w:r>
      <w:r>
        <w:rPr>
          <w:rFonts w:hint="eastAsia"/>
        </w:rPr>
        <w:t>：近期股份变动</w:t>
      </w:r>
    </w:p>
    <w:p w14:paraId="4DF63D54" w14:textId="3FDC3918" w:rsidR="00167BE1" w:rsidRDefault="00167BE1" w:rsidP="00BF35B0">
      <w:r w:rsidRPr="00844842">
        <w:rPr>
          <w:noProof/>
        </w:rPr>
        <w:drawing>
          <wp:inline distT="0" distB="0" distL="0" distR="0" wp14:anchorId="5EDE043F" wp14:editId="0655C194">
            <wp:extent cx="5469467" cy="1874021"/>
            <wp:effectExtent l="0" t="0" r="4445" b="5715"/>
            <wp:docPr id="884978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78466" name=""/>
                    <pic:cNvPicPr/>
                  </pic:nvPicPr>
                  <pic:blipFill>
                    <a:blip r:embed="rId76"/>
                    <a:stretch>
                      <a:fillRect/>
                    </a:stretch>
                  </pic:blipFill>
                  <pic:spPr>
                    <a:xfrm>
                      <a:off x="0" y="0"/>
                      <a:ext cx="5510511" cy="1888084"/>
                    </a:xfrm>
                    <a:prstGeom prst="rect">
                      <a:avLst/>
                    </a:prstGeom>
                  </pic:spPr>
                </pic:pic>
              </a:graphicData>
            </a:graphic>
          </wp:inline>
        </w:drawing>
      </w:r>
    </w:p>
    <w:p w14:paraId="5A3F0328" w14:textId="38BC8A3F" w:rsidR="00E124F6" w:rsidRDefault="00E124F6" w:rsidP="00E124F6">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58</w:t>
      </w:r>
      <w:r>
        <w:fldChar w:fldCharType="end"/>
      </w:r>
      <w:r>
        <w:rPr>
          <w:rFonts w:hint="eastAsia"/>
        </w:rPr>
        <w:t>：近期分红回购</w:t>
      </w:r>
    </w:p>
    <w:p w14:paraId="100D4C1D" w14:textId="559822C2" w:rsidR="00AE7752" w:rsidRDefault="00E124F6" w:rsidP="00BF35B0">
      <w:r w:rsidRPr="00E124F6">
        <w:rPr>
          <w:noProof/>
        </w:rPr>
        <w:drawing>
          <wp:inline distT="0" distB="0" distL="0" distR="0" wp14:anchorId="487A5B5F" wp14:editId="167FFAB5">
            <wp:extent cx="6645910" cy="1953895"/>
            <wp:effectExtent l="0" t="0" r="0" b="1905"/>
            <wp:docPr id="1333350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0468" name=""/>
                    <pic:cNvPicPr/>
                  </pic:nvPicPr>
                  <pic:blipFill>
                    <a:blip r:embed="rId77"/>
                    <a:stretch>
                      <a:fillRect/>
                    </a:stretch>
                  </pic:blipFill>
                  <pic:spPr>
                    <a:xfrm>
                      <a:off x="0" y="0"/>
                      <a:ext cx="6645910" cy="1953895"/>
                    </a:xfrm>
                    <a:prstGeom prst="rect">
                      <a:avLst/>
                    </a:prstGeom>
                  </pic:spPr>
                </pic:pic>
              </a:graphicData>
            </a:graphic>
          </wp:inline>
        </w:drawing>
      </w:r>
    </w:p>
    <w:p w14:paraId="16377C6A" w14:textId="27024469" w:rsidR="00AE7752" w:rsidRDefault="00D15823" w:rsidP="00BF35B0">
      <w:r w:rsidRPr="00D15823">
        <w:t>现金分红同比接近翻倍，主要受支付日与财务季度截止日影响：2026年第二次季度分红计入上半年，而2025年第二次季度分红大部分在第三季度支付。</w:t>
      </w:r>
    </w:p>
    <w:p w14:paraId="6EF3BEEC" w14:textId="77777777" w:rsidR="00334F49" w:rsidRDefault="00334F49" w:rsidP="00334F49"/>
    <w:p w14:paraId="17F04691" w14:textId="77097782" w:rsidR="00334F49" w:rsidRDefault="00F1579E" w:rsidP="00F1579E">
      <w:pPr>
        <w:pStyle w:val="2"/>
      </w:pPr>
      <w:r>
        <w:rPr>
          <w:rFonts w:hint="eastAsia"/>
        </w:rPr>
        <w:lastRenderedPageBreak/>
        <w:t>管理层</w:t>
      </w:r>
    </w:p>
    <w:p w14:paraId="7E6EC7BC" w14:textId="781D7873" w:rsidR="00835D9A" w:rsidRDefault="00E07446" w:rsidP="00E07446">
      <w:pPr>
        <w:pStyle w:val="3"/>
      </w:pPr>
      <w:r>
        <w:rPr>
          <w:rFonts w:hint="eastAsia"/>
        </w:rPr>
        <w:t>管理层团队与治理</w:t>
      </w:r>
    </w:p>
    <w:p w14:paraId="1DCCCC4D" w14:textId="231375D2" w:rsidR="00835D9A" w:rsidRDefault="00FD1B0C" w:rsidP="00835D9A">
      <w:r w:rsidRPr="00FD1B0C">
        <w:t>KO的管理层交接以内部培养和经营经验传承为基础。Henrique Braun于2026年3月31日接任CEO，James Quincey转任执行董事长。Braun自1996年加入公司，先后负责大中华及韩国、巴西、拉美业务，之后担任国际发展总裁及首席运营官。其履历覆盖品牌经营、装瓶体系和不同发展阶段的市场，与KO依靠全球品牌、本地执行实现增长的经营方式相适应。</w:t>
      </w:r>
    </w:p>
    <w:p w14:paraId="111F833A" w14:textId="4FC0B0A5" w:rsidR="007273C1" w:rsidRDefault="007273C1" w:rsidP="007273C1">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59</w:t>
      </w:r>
      <w:r>
        <w:fldChar w:fldCharType="end"/>
      </w:r>
      <w:r>
        <w:rPr>
          <w:rFonts w:hint="eastAsia"/>
        </w:rPr>
        <w:t>：管理层名单</w:t>
      </w:r>
    </w:p>
    <w:p w14:paraId="3D61D44E" w14:textId="771E559E" w:rsidR="00FD1B0C" w:rsidRDefault="007273C1" w:rsidP="00835D9A">
      <w:r w:rsidRPr="007273C1">
        <w:rPr>
          <w:noProof/>
        </w:rPr>
        <w:drawing>
          <wp:inline distT="0" distB="0" distL="0" distR="0" wp14:anchorId="61C7737A" wp14:editId="5D6ADAA8">
            <wp:extent cx="6493933" cy="2755547"/>
            <wp:effectExtent l="0" t="0" r="0" b="635"/>
            <wp:docPr id="456584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4709" name=""/>
                    <pic:cNvPicPr/>
                  </pic:nvPicPr>
                  <pic:blipFill>
                    <a:blip r:embed="rId78"/>
                    <a:stretch>
                      <a:fillRect/>
                    </a:stretch>
                  </pic:blipFill>
                  <pic:spPr>
                    <a:xfrm>
                      <a:off x="0" y="0"/>
                      <a:ext cx="6539634" cy="2774939"/>
                    </a:xfrm>
                    <a:prstGeom prst="rect">
                      <a:avLst/>
                    </a:prstGeom>
                  </pic:spPr>
                </pic:pic>
              </a:graphicData>
            </a:graphic>
          </wp:inline>
        </w:drawing>
      </w:r>
    </w:p>
    <w:p w14:paraId="5C0B784A" w14:textId="78725414" w:rsidR="00835D9A" w:rsidRDefault="00D66DE5" w:rsidP="00835D9A">
      <w:r w:rsidRPr="00D66DE5">
        <w:t>北美业务正处于单独的管理交接期。John Murphy自2026年8月1日起临时负责北美，Rob Gehring已获任命，将于12月1日正式接任北美总裁。Gehring拥有可口可乐销售、客户管理、太古装瓶及Monster等经历，具备品牌公司与装瓶商两侧的经营经验。因此，2025年薪酬表中的北美总裁Jennifer Mann，不能继续作为当前北美负责人列示。</w:t>
      </w:r>
    </w:p>
    <w:p w14:paraId="7312F3F5" w14:textId="4E12971F" w:rsidR="00EC10ED" w:rsidRDefault="00B5795F" w:rsidP="00835D9A">
      <w:r w:rsidRPr="00B5795F">
        <w:t>治理上，董事长与CEO已经分设，但Quincey仍是执行董事长。独立监督主要依靠首席独立董事David Weinberg及独立董事组成的委员会。其中，薪酬委员会由四名独立董事组成，并聘请直接向委员会汇报的独立薪酬顾问Meridian。</w:t>
      </w:r>
    </w:p>
    <w:p w14:paraId="00B02196" w14:textId="77777777" w:rsidR="00EC10ED" w:rsidRDefault="00EC10ED" w:rsidP="00835D9A"/>
    <w:p w14:paraId="170695CD" w14:textId="03AB9055" w:rsidR="00083264" w:rsidRDefault="00083264" w:rsidP="003E105B">
      <w:pPr>
        <w:pStyle w:val="3"/>
      </w:pPr>
      <w:r>
        <w:rPr>
          <w:rFonts w:hint="eastAsia"/>
        </w:rPr>
        <w:t>薪酬与激励</w:t>
      </w:r>
    </w:p>
    <w:p w14:paraId="0AFBCA4D" w14:textId="4AF0B174" w:rsidR="00083264" w:rsidRDefault="009D2747" w:rsidP="00835D9A">
      <w:r w:rsidRPr="009D2747">
        <w:t>KO高管直接薪酬由基本工资、年度现金激励和长期股权激励构成。按公司披露的2025年直接薪酬结构，Quincey的基本工资约占6%，年度激励占17%，长期激励占77%；其余四名核心高管平均分别为11%、23%和66%。</w:t>
      </w:r>
    </w:p>
    <w:p w14:paraId="74AB90E2" w14:textId="35352125" w:rsidR="00691C7F" w:rsidRDefault="00691C7F" w:rsidP="00691C7F">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60</w:t>
      </w:r>
      <w:r>
        <w:fldChar w:fldCharType="end"/>
      </w:r>
      <w:r>
        <w:rPr>
          <w:rFonts w:hint="eastAsia"/>
        </w:rPr>
        <w:t>：管理层薪酬总额</w:t>
      </w:r>
    </w:p>
    <w:p w14:paraId="27404115" w14:textId="77974C73" w:rsidR="005B6CEA" w:rsidRDefault="00691C7F" w:rsidP="00835D9A">
      <w:r w:rsidRPr="00691C7F">
        <w:rPr>
          <w:noProof/>
        </w:rPr>
        <w:drawing>
          <wp:inline distT="0" distB="0" distL="0" distR="0" wp14:anchorId="025CC0C2" wp14:editId="5CC30B2E">
            <wp:extent cx="6645910" cy="2056130"/>
            <wp:effectExtent l="0" t="0" r="0" b="1270"/>
            <wp:docPr id="48838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87794" name=""/>
                    <pic:cNvPicPr/>
                  </pic:nvPicPr>
                  <pic:blipFill>
                    <a:blip r:embed="rId79"/>
                    <a:stretch>
                      <a:fillRect/>
                    </a:stretch>
                  </pic:blipFill>
                  <pic:spPr>
                    <a:xfrm>
                      <a:off x="0" y="0"/>
                      <a:ext cx="6645910" cy="2056130"/>
                    </a:xfrm>
                    <a:prstGeom prst="rect">
                      <a:avLst/>
                    </a:prstGeom>
                  </pic:spPr>
                </pic:pic>
              </a:graphicData>
            </a:graphic>
          </wp:inline>
        </w:drawing>
      </w:r>
    </w:p>
    <w:p w14:paraId="0F38A4C7" w14:textId="77FFB8FD" w:rsidR="005B6CEA" w:rsidRDefault="006A43FD" w:rsidP="00835D9A">
      <w:r w:rsidRPr="006A43FD">
        <w:t>年度奖金主要由公司整体收入和营业利润表现决定，两项各占一半权重。</w:t>
      </w:r>
    </w:p>
    <w:p w14:paraId="06484F88" w14:textId="551A7CD0" w:rsidR="002154CF" w:rsidRDefault="002154CF" w:rsidP="002154CF">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61</w:t>
      </w:r>
      <w:r>
        <w:fldChar w:fldCharType="end"/>
      </w:r>
      <w:r>
        <w:rPr>
          <w:rFonts w:hint="eastAsia"/>
        </w:rPr>
        <w:t>：年度</w:t>
      </w:r>
      <w:r w:rsidR="007576CF">
        <w:rPr>
          <w:rFonts w:hint="eastAsia"/>
        </w:rPr>
        <w:t>激励</w:t>
      </w:r>
      <w:r>
        <w:rPr>
          <w:rFonts w:hint="eastAsia"/>
        </w:rPr>
        <w:t>考核</w:t>
      </w:r>
    </w:p>
    <w:p w14:paraId="3EEE1EFE" w14:textId="484AE3E1" w:rsidR="0045749C" w:rsidRDefault="002154CF" w:rsidP="00835D9A">
      <w:r w:rsidRPr="002154CF">
        <w:rPr>
          <w:noProof/>
        </w:rPr>
        <w:drawing>
          <wp:inline distT="0" distB="0" distL="0" distR="0" wp14:anchorId="7C14FF22" wp14:editId="7564A7CE">
            <wp:extent cx="6645910" cy="1506855"/>
            <wp:effectExtent l="0" t="0" r="0" b="4445"/>
            <wp:docPr id="1255127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27809" name=""/>
                    <pic:cNvPicPr/>
                  </pic:nvPicPr>
                  <pic:blipFill>
                    <a:blip r:embed="rId80"/>
                    <a:stretch>
                      <a:fillRect/>
                    </a:stretch>
                  </pic:blipFill>
                  <pic:spPr>
                    <a:xfrm>
                      <a:off x="0" y="0"/>
                      <a:ext cx="6645910" cy="1506855"/>
                    </a:xfrm>
                    <a:prstGeom prst="rect">
                      <a:avLst/>
                    </a:prstGeom>
                  </pic:spPr>
                </pic:pic>
              </a:graphicData>
            </a:graphic>
          </wp:inline>
        </w:drawing>
      </w:r>
    </w:p>
    <w:p w14:paraId="54873451" w14:textId="19FB9616" w:rsidR="006A43FD" w:rsidRDefault="004B067A" w:rsidP="00835D9A">
      <w:r w:rsidRPr="004B067A">
        <w:t>这套安排要求管理层兼顾收入扩张与盈利，不能仅依靠扩大销售规模获得高额奖励。</w:t>
      </w:r>
    </w:p>
    <w:p w14:paraId="4189BD46" w14:textId="722BE277" w:rsidR="00CE458E" w:rsidRDefault="00E37AFB" w:rsidP="00835D9A">
      <w:r w:rsidRPr="00E37AFB">
        <w:t>负责北美的Mann另有区域责任约束：其考核三分之二来自公司整体，三分之一来自北美经营表现。</w:t>
      </w:r>
    </w:p>
    <w:p w14:paraId="128064DD" w14:textId="77777777" w:rsidR="00CE458E" w:rsidRDefault="00CE458E" w:rsidP="00835D9A"/>
    <w:p w14:paraId="331E8B08" w14:textId="4051B911" w:rsidR="00CE458E" w:rsidRDefault="00DD3C31" w:rsidP="00835D9A">
      <w:r w:rsidRPr="00DD3C31">
        <w:t>2025年的长期激励采用绩效股票单位</w:t>
      </w:r>
      <w:r w:rsidR="00943AEB">
        <w:rPr>
          <w:rFonts w:hint="eastAsia"/>
        </w:rPr>
        <w:t>（</w:t>
      </w:r>
      <w:r w:rsidR="00943AEB" w:rsidRPr="00DD3C31">
        <w:t>PSU</w:t>
      </w:r>
      <w:r w:rsidR="00943AEB">
        <w:rPr>
          <w:rFonts w:hint="eastAsia"/>
        </w:rPr>
        <w:t>）</w:t>
      </w:r>
      <w:r w:rsidRPr="00DD3C31">
        <w:t>，以及股票期权。PSU通常经历三年考核与归属期，期权则分四年逐步归属。Quincey、Murphy和Braun的授予方案价值在两类工具间各分配一半；Arroyo选择三分之二配置PSU，Mann选择各半。</w:t>
      </w:r>
    </w:p>
    <w:p w14:paraId="6278EEEC" w14:textId="08657841" w:rsidR="000E7F02" w:rsidRDefault="000E7F02" w:rsidP="000E7F02">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62</w:t>
      </w:r>
      <w:r>
        <w:fldChar w:fldCharType="end"/>
      </w:r>
      <w:r>
        <w:rPr>
          <w:rFonts w:hint="eastAsia"/>
        </w:rPr>
        <w:t>：长期激励考核</w:t>
      </w:r>
    </w:p>
    <w:p w14:paraId="695B5252" w14:textId="36E7D87C" w:rsidR="00DD3C31" w:rsidRDefault="000E7F02" w:rsidP="00835D9A">
      <w:r w:rsidRPr="000E7F02">
        <w:rPr>
          <w:noProof/>
        </w:rPr>
        <w:drawing>
          <wp:inline distT="0" distB="0" distL="0" distR="0" wp14:anchorId="7768CF81" wp14:editId="47B0DE59">
            <wp:extent cx="6645910" cy="1304290"/>
            <wp:effectExtent l="0" t="0" r="0" b="3810"/>
            <wp:docPr id="1426665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5629" name=""/>
                    <pic:cNvPicPr/>
                  </pic:nvPicPr>
                  <pic:blipFill>
                    <a:blip r:embed="rId81"/>
                    <a:stretch>
                      <a:fillRect/>
                    </a:stretch>
                  </pic:blipFill>
                  <pic:spPr>
                    <a:xfrm>
                      <a:off x="0" y="0"/>
                      <a:ext cx="6645910" cy="1304290"/>
                    </a:xfrm>
                    <a:prstGeom prst="rect">
                      <a:avLst/>
                    </a:prstGeom>
                  </pic:spPr>
                </pic:pic>
              </a:graphicData>
            </a:graphic>
          </wp:inline>
        </w:drawing>
      </w:r>
    </w:p>
    <w:p w14:paraId="2D9F6FD9" w14:textId="77777777" w:rsidR="005E20A7" w:rsidRDefault="005E20A7" w:rsidP="005E20A7">
      <w:r>
        <w:t>完成财务考核后，奖励还会根据三年股东总回报进一步调整。股东总回报包括股价变化与股息再投资，比较对象为标普500必需消费品指数成分公司：</w:t>
      </w:r>
    </w:p>
    <w:p w14:paraId="58929D70" w14:textId="65D60DE7" w:rsidR="005E20A7" w:rsidRDefault="005E20A7" w:rsidP="005E20A7">
      <w:pPr>
        <w:pStyle w:val="a9"/>
        <w:numPr>
          <w:ilvl w:val="0"/>
          <w:numId w:val="22"/>
        </w:numPr>
      </w:pPr>
      <w:r>
        <w:t>达到或超过比较组第75百分位，奖励股数增加25%；</w:t>
      </w:r>
    </w:p>
    <w:p w14:paraId="0BAEC814" w14:textId="2164F3E7" w:rsidR="005E20A7" w:rsidRDefault="005E20A7" w:rsidP="005E20A7">
      <w:pPr>
        <w:pStyle w:val="a9"/>
        <w:numPr>
          <w:ilvl w:val="0"/>
          <w:numId w:val="22"/>
        </w:numPr>
      </w:pPr>
      <w:r>
        <w:t>高于第25、低于第75百分位，不作调整；</w:t>
      </w:r>
    </w:p>
    <w:p w14:paraId="4B3E5A71" w14:textId="07919667" w:rsidR="005E20A7" w:rsidRDefault="005E20A7" w:rsidP="005E20A7">
      <w:pPr>
        <w:pStyle w:val="a9"/>
        <w:numPr>
          <w:ilvl w:val="0"/>
          <w:numId w:val="22"/>
        </w:numPr>
      </w:pPr>
      <w:r>
        <w:lastRenderedPageBreak/>
        <w:t>位于或低于第25百分位，奖励股数减少25%。</w:t>
      </w:r>
    </w:p>
    <w:p w14:paraId="0647CB05" w14:textId="32207D37" w:rsidR="00DD3C31" w:rsidRDefault="005E20A7" w:rsidP="005E20A7">
      <w:r>
        <w:t>因此，达到财务最高档且触发正向调整时，最终奖励可达到目标股数的250%。</w:t>
      </w:r>
    </w:p>
    <w:p w14:paraId="44E5F4F3" w14:textId="77777777" w:rsidR="00835D9A" w:rsidRDefault="00835D9A" w:rsidP="00835D9A"/>
    <w:p w14:paraId="77CFF2A0" w14:textId="094EE610" w:rsidR="00334F49" w:rsidRPr="00F1579E" w:rsidRDefault="00A6281C" w:rsidP="00F1579E">
      <w:pPr>
        <w:pStyle w:val="3"/>
      </w:pPr>
      <w:r>
        <w:rPr>
          <w:rFonts w:hint="eastAsia"/>
        </w:rPr>
        <w:t>战略</w:t>
      </w:r>
      <w:r w:rsidR="002D55FA">
        <w:rPr>
          <w:rFonts w:hint="eastAsia"/>
        </w:rPr>
        <w:t>与</w:t>
      </w:r>
      <w:r w:rsidR="00547A4F">
        <w:rPr>
          <w:rFonts w:hint="eastAsia"/>
        </w:rPr>
        <w:t>指引</w:t>
      </w:r>
    </w:p>
    <w:p w14:paraId="7F9BEF0A" w14:textId="493F99D0" w:rsidR="00334F49" w:rsidRDefault="00381DD1" w:rsidP="00334F49">
      <w:r w:rsidRPr="00381DD1">
        <w:t>KO未来几年的增长，仍将依靠品牌和装瓶体系扩大消费覆盖。</w:t>
      </w:r>
      <w:r w:rsidRPr="00F4253A">
        <w:rPr>
          <w:b/>
          <w:bCs/>
        </w:rPr>
        <w:t>管理层的重点是让销量与价格／组合共同贡献增长，扩大现有品牌、培育本地品牌，并通过数字化和业务结构调整提高经营效率</w:t>
      </w:r>
      <w:r w:rsidRPr="00381DD1">
        <w:t>。</w:t>
      </w:r>
    </w:p>
    <w:p w14:paraId="1C2E49B2" w14:textId="77777777" w:rsidR="00334F49" w:rsidRDefault="00334F49" w:rsidP="00334F49"/>
    <w:p w14:paraId="226CC1E8" w14:textId="5A9B9914" w:rsidR="00334F49" w:rsidRDefault="00CE4C55" w:rsidP="00334F49">
      <w:r w:rsidRPr="00CE4C55">
        <w:t>Henrique Braun于2026年3月31日接任CEO。其在9月Barclays会议上表示，短期工作重点是延续既有增长势头，长期则围绕更贴近消费者、将数字化融入经营，以及加强持续改进展开。这意味着管理层将继续以现有品牌组合和装瓶合作体系为基础，寻找更多国家、更多品类的增长机会。</w:t>
      </w:r>
    </w:p>
    <w:p w14:paraId="4157AF48" w14:textId="1354F479" w:rsidR="00334F49" w:rsidRPr="00EE0C67" w:rsidRDefault="00EE0C67" w:rsidP="00EE0C67">
      <w:pPr>
        <w:pStyle w:val="a9"/>
        <w:numPr>
          <w:ilvl w:val="0"/>
          <w:numId w:val="14"/>
        </w:numPr>
        <w:rPr>
          <w:b/>
          <w:bCs/>
        </w:rPr>
      </w:pPr>
      <w:r w:rsidRPr="00EE0C67">
        <w:rPr>
          <w:b/>
          <w:bCs/>
        </w:rPr>
        <w:t>收入增长：兼顾不同消费能力，扩大品牌与市场覆盖</w:t>
      </w:r>
    </w:p>
    <w:p w14:paraId="727264C2" w14:textId="32DEC8F6" w:rsidR="005F15CE" w:rsidRDefault="005F15CE" w:rsidP="005F15CE">
      <w:r>
        <w:t>管理层在Barclays会议上明确，</w:t>
      </w:r>
      <w:r w:rsidRPr="005F15CE">
        <w:rPr>
          <w:b/>
          <w:bCs/>
        </w:rPr>
        <w:t>2026年的增长会更偏向销量贡献</w:t>
      </w:r>
      <w:r>
        <w:t>，</w:t>
      </w:r>
      <w:r w:rsidRPr="005F15CE">
        <w:rPr>
          <w:b/>
          <w:bCs/>
        </w:rPr>
        <w:t>中期仍追求销量与价格／组合的平衡</w:t>
      </w:r>
      <w:r>
        <w:t>。面对低收入消费者持续承压，公司将继续提供符合其购买预算的产品选择；与此同时，通过Core Power等产品和不同包装组合，满足愿意为特定功能、品牌及场景支付更高价格的消费者需求。</w:t>
      </w:r>
    </w:p>
    <w:p w14:paraId="78A5FC42" w14:textId="2E548CEC" w:rsidR="00C37065" w:rsidRDefault="00C37065" w:rsidP="00C37065">
      <w:pPr>
        <w:ind w:left="420"/>
      </w:pPr>
      <w:r w:rsidRPr="00C37065">
        <w:rPr>
          <w:sz w:val="21"/>
          <w:szCs w:val="22"/>
        </w:rPr>
        <w:t>FY2025业绩会</w:t>
      </w:r>
      <w:r w:rsidR="00F32A26">
        <w:rPr>
          <w:rFonts w:hint="eastAsia"/>
          <w:sz w:val="21"/>
          <w:szCs w:val="22"/>
        </w:rPr>
        <w:t>（</w:t>
      </w:r>
      <w:r w:rsidR="00F32A26" w:rsidRPr="00C37065">
        <w:rPr>
          <w:sz w:val="21"/>
          <w:szCs w:val="22"/>
        </w:rPr>
        <w:t>2026年2月10日</w:t>
      </w:r>
      <w:r w:rsidR="00F32A26">
        <w:rPr>
          <w:rFonts w:hint="eastAsia"/>
          <w:sz w:val="21"/>
          <w:szCs w:val="22"/>
        </w:rPr>
        <w:t>）</w:t>
      </w:r>
      <w:r w:rsidRPr="00C37065">
        <w:rPr>
          <w:sz w:val="21"/>
          <w:szCs w:val="22"/>
        </w:rPr>
        <w:t>上，管理层在介绍2026年计划时已经明确：继续投资品牌，推动均衡的收入增长，并</w:t>
      </w:r>
      <w:r w:rsidRPr="008A31C4">
        <w:rPr>
          <w:b/>
          <w:bCs/>
          <w:sz w:val="21"/>
          <w:szCs w:val="22"/>
        </w:rPr>
        <w:t>将销量作为重点</w:t>
      </w:r>
      <w:r w:rsidRPr="00C37065">
        <w:rPr>
          <w:sz w:val="21"/>
          <w:szCs w:val="22"/>
        </w:rPr>
        <w:t>。</w:t>
      </w:r>
      <w:r w:rsidR="00DF5C89">
        <w:rPr>
          <w:rFonts w:hint="eastAsia"/>
          <w:sz w:val="21"/>
          <w:szCs w:val="22"/>
        </w:rPr>
        <w:t>因此</w:t>
      </w:r>
      <w:r w:rsidR="00F80B80">
        <w:rPr>
          <w:rFonts w:hint="eastAsia"/>
        </w:rPr>
        <w:t>“</w:t>
      </w:r>
      <w:r w:rsidR="00F80B80">
        <w:rPr>
          <w:rFonts w:hint="eastAsia"/>
          <w:sz w:val="21"/>
          <w:szCs w:val="22"/>
        </w:rPr>
        <w:t>偏向销量贡献</w:t>
      </w:r>
      <w:r w:rsidR="00F80B80">
        <w:rPr>
          <w:rFonts w:hint="eastAsia"/>
        </w:rPr>
        <w:t>”</w:t>
      </w:r>
      <w:r w:rsidR="00DF5C89">
        <w:t>是消费环境约束下提前作出的主动调整，实际结果则由经营动作与外部条件共同形成。</w:t>
      </w:r>
    </w:p>
    <w:p w14:paraId="299063AF" w14:textId="27D04CA0" w:rsidR="005F15CE" w:rsidRDefault="005F15CE" w:rsidP="005F15CE">
      <w:r>
        <w:t>这一安排意味着，未来增长需要在扩大消费者参与和维持产品价值之间取得平衡。</w:t>
      </w:r>
      <w:r w:rsidRPr="001A4C7C">
        <w:rPr>
          <w:b/>
          <w:bCs/>
        </w:rPr>
        <w:t>销量恢复能否持续，比某个季度的价格／组合增速更值得关注</w:t>
      </w:r>
      <w:r>
        <w:t>；但销量增长最终仍需带动收入和利润，才能证明这些投入产生了回报。</w:t>
      </w:r>
    </w:p>
    <w:p w14:paraId="234CF822" w14:textId="2F79841C" w:rsidR="005F15CE" w:rsidRDefault="005F15CE" w:rsidP="005F15CE">
      <w:r>
        <w:t>这一矛盾在亚太尤其明显。管理层将扩大消费者基础、完善价格包装体系及提升装瓶商经营能力列为长期重点。中国市场更聚焦具备竞争优势的品类，印度则继续完善品牌组合、渠道和收入增长管理能力。短期投入可能压低价格／组合及利润表现，管理层希望以此换取更大的长期业务规模。</w:t>
      </w:r>
    </w:p>
    <w:p w14:paraId="5AD7F5BC" w14:textId="77777777" w:rsidR="005F15CE" w:rsidRDefault="005F15CE" w:rsidP="005F15CE">
      <w:r>
        <w:t>因此，后续对亚太的验证，应从“销量有没有增长”，进一步转向“消费者覆盖扩大后，收入、利润和资本回报能否跟上”。如果较高投入长期只能换来销量，仍不足以证明增长质量改善。</w:t>
      </w:r>
    </w:p>
    <w:p w14:paraId="29FB0EC8" w14:textId="678F8256" w:rsidR="005F15CE" w:rsidRDefault="005F15CE" w:rsidP="005F15CE">
      <w:r>
        <w:t>品牌方面，管理层准备同时推进两条路径：</w:t>
      </w:r>
      <w:r w:rsidRPr="00914A8C">
        <w:rPr>
          <w:b/>
          <w:bCs/>
        </w:rPr>
        <w:t>扩大已有规模品牌，并持续培育本地品牌</w:t>
      </w:r>
      <w:r>
        <w:t>。无糖、无咖啡因产品及跨品类创新，主要利用既有品牌和分销网络拓展需求；Santa Clara等品牌则体现本地市场培育的机会。管理层也提醒，新品牌成长为十亿美元级品牌通常需要较长时间，产品推出后仍需持续观察销售表现，并与装瓶商共同筛选值得扩大投入的项目。</w:t>
      </w:r>
    </w:p>
    <w:p w14:paraId="1088007E" w14:textId="77777777" w:rsidR="00334F49" w:rsidRDefault="00334F49" w:rsidP="00334F49"/>
    <w:p w14:paraId="4C879B2B" w14:textId="2B1CCE24" w:rsidR="00334F49" w:rsidRPr="00F7528E" w:rsidRDefault="00F7528E" w:rsidP="00F7528E">
      <w:pPr>
        <w:pStyle w:val="a9"/>
        <w:numPr>
          <w:ilvl w:val="0"/>
          <w:numId w:val="14"/>
        </w:numPr>
        <w:rPr>
          <w:b/>
          <w:bCs/>
        </w:rPr>
      </w:pPr>
      <w:r w:rsidRPr="00F7528E">
        <w:rPr>
          <w:b/>
          <w:bCs/>
        </w:rPr>
        <w:t>重点投入：</w:t>
      </w:r>
      <w:proofErr w:type="spellStart"/>
      <w:r w:rsidRPr="00F7528E">
        <w:rPr>
          <w:b/>
          <w:bCs/>
        </w:rPr>
        <w:t>fairlife</w:t>
      </w:r>
      <w:proofErr w:type="spellEnd"/>
      <w:r w:rsidRPr="00F7528E">
        <w:rPr>
          <w:b/>
          <w:bCs/>
        </w:rPr>
        <w:t>产能释放与新增消费场景</w:t>
      </w:r>
    </w:p>
    <w:p w14:paraId="09589FB5" w14:textId="38EA802D" w:rsidR="00334F49" w:rsidRDefault="004F299A" w:rsidP="00334F49">
      <w:proofErr w:type="spellStart"/>
      <w:r w:rsidRPr="004F299A">
        <w:t>fairlife</w:t>
      </w:r>
      <w:proofErr w:type="spellEnd"/>
      <w:r w:rsidRPr="004F299A">
        <w:t>是未来增长较为明确、同时需要持续资本投入的方向。管理层在二季度业绩会上表示，新增产能首先用于保障核心产品供应，待产能灵活性提高后，再支持更多创新产品。后续增长因此同时取决于需求、供货能力及新品推出节奏。</w:t>
      </w:r>
    </w:p>
    <w:p w14:paraId="62643C90" w14:textId="65B9389B" w:rsidR="006B4E96" w:rsidRDefault="006B4E96" w:rsidP="006B4E96">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63</w:t>
      </w:r>
      <w:r>
        <w:fldChar w:fldCharType="end"/>
      </w:r>
      <w:r>
        <w:rPr>
          <w:rFonts w:hint="eastAsia"/>
        </w:rPr>
        <w:t>：</w:t>
      </w:r>
      <w:proofErr w:type="spellStart"/>
      <w:r>
        <w:rPr>
          <w:rFonts w:hint="eastAsia"/>
        </w:rPr>
        <w:t>fairlife</w:t>
      </w:r>
      <w:proofErr w:type="spellEnd"/>
      <w:r>
        <w:rPr>
          <w:rFonts w:hint="eastAsia"/>
        </w:rPr>
        <w:t>产能进度</w:t>
      </w:r>
    </w:p>
    <w:p w14:paraId="27F3A97D" w14:textId="220CB607" w:rsidR="00334F49" w:rsidRPr="004F299A" w:rsidRDefault="006B4E96" w:rsidP="00334F49">
      <w:r w:rsidRPr="006B4E96">
        <w:rPr>
          <w:noProof/>
        </w:rPr>
        <w:drawing>
          <wp:inline distT="0" distB="0" distL="0" distR="0" wp14:anchorId="5CAFDF4B" wp14:editId="4E689D0B">
            <wp:extent cx="6645910" cy="1437640"/>
            <wp:effectExtent l="0" t="0" r="0" b="0"/>
            <wp:docPr id="109155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5972" name=""/>
                    <pic:cNvPicPr/>
                  </pic:nvPicPr>
                  <pic:blipFill>
                    <a:blip r:embed="rId82"/>
                    <a:stretch>
                      <a:fillRect/>
                    </a:stretch>
                  </pic:blipFill>
                  <pic:spPr>
                    <a:xfrm>
                      <a:off x="0" y="0"/>
                      <a:ext cx="6645910" cy="1437640"/>
                    </a:xfrm>
                    <a:prstGeom prst="rect">
                      <a:avLst/>
                    </a:prstGeom>
                  </pic:spPr>
                </pic:pic>
              </a:graphicData>
            </a:graphic>
          </wp:inline>
        </w:drawing>
      </w:r>
    </w:p>
    <w:p w14:paraId="49B9E5DE" w14:textId="77777777" w:rsidR="00334F49" w:rsidRDefault="00334F49" w:rsidP="00334F49"/>
    <w:p w14:paraId="7BB45E18" w14:textId="51B596AB" w:rsidR="00334F49" w:rsidRPr="007D78A9" w:rsidRDefault="007D78A9" w:rsidP="007D78A9">
      <w:pPr>
        <w:pStyle w:val="a9"/>
        <w:numPr>
          <w:ilvl w:val="0"/>
          <w:numId w:val="14"/>
        </w:numPr>
        <w:rPr>
          <w:b/>
          <w:bCs/>
        </w:rPr>
      </w:pPr>
      <w:r w:rsidRPr="007D78A9">
        <w:rPr>
          <w:b/>
          <w:bCs/>
        </w:rPr>
        <w:t>经营效率与业务边界：数字化配合执行，资产调整继续推进</w:t>
      </w:r>
    </w:p>
    <w:p w14:paraId="6BB613C3" w14:textId="5DBDD909" w:rsidR="00334F49" w:rsidRDefault="00A04D2C" w:rsidP="00BF35B0">
      <w:r w:rsidRPr="00A04D2C">
        <w:t>数字化的作用主要体现在营销、客户服务和体系协同。公司已设立直接向CEO汇报的首席数字官，并将客户商业执行与营销职责进一步整合。管理层在Barclays会议上介绍，全球约3300万个终端网点中，超过三分之二已接入数字平台；消费者端则通过包装互动及数字营销，积累消费者信息并衔接购买渠道。</w:t>
      </w:r>
    </w:p>
    <w:p w14:paraId="65CEFAA9" w14:textId="5E162896" w:rsidR="00334F49" w:rsidRPr="00A04D2C" w:rsidRDefault="00CE23B5" w:rsidP="00BF35B0">
      <w:r w:rsidRPr="00CE23B5">
        <w:t>业务边界方面，CCBA出售仍是重要事项。按照已公布协议，交易完成后，KO对CCBA的直接持股拟由66.52%降至25%。这将继续减少直接合并的装瓶业务，使公司通过浓缩液供应及持股参与当地市场。</w:t>
      </w:r>
    </w:p>
    <w:p w14:paraId="3D1FFC02" w14:textId="77777777" w:rsidR="005F3D04" w:rsidRDefault="005F3D04" w:rsidP="005F3D04"/>
    <w:p w14:paraId="297A1EED" w14:textId="6A5D2C81" w:rsidR="00DF6A28" w:rsidRPr="00DF6A28" w:rsidRDefault="00DF6A28" w:rsidP="00DF6A28">
      <w:pPr>
        <w:pStyle w:val="a9"/>
        <w:numPr>
          <w:ilvl w:val="0"/>
          <w:numId w:val="21"/>
        </w:numPr>
        <w:rPr>
          <w:b/>
          <w:bCs/>
        </w:rPr>
      </w:pPr>
      <w:r w:rsidRPr="00DF6A28">
        <w:rPr>
          <w:rFonts w:hint="eastAsia"/>
          <w:b/>
          <w:bCs/>
        </w:rPr>
        <w:t>指引</w:t>
      </w:r>
    </w:p>
    <w:p w14:paraId="25B61F26" w14:textId="7EFBB208" w:rsidR="00541075" w:rsidRDefault="00541075" w:rsidP="00541075">
      <w:r w:rsidRPr="00541075">
        <w:t>截至2026年10月16日，KO的最新年度业绩指引覆盖2026年；更远期则通过长期财务模型、资本配置政策，以及部分跨年度项目和激励考核目标，说明公司的发展方向。</w:t>
      </w:r>
    </w:p>
    <w:p w14:paraId="7A548BDA" w14:textId="2E051A39" w:rsidR="00DF6A28" w:rsidRDefault="00DF6A28" w:rsidP="00DF6A28">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64</w:t>
      </w:r>
      <w:r>
        <w:fldChar w:fldCharType="end"/>
      </w:r>
      <w:r>
        <w:rPr>
          <w:rFonts w:hint="eastAsia"/>
        </w:rPr>
        <w:t>：</w:t>
      </w:r>
      <w:r>
        <w:rPr>
          <w:rFonts w:hint="eastAsia"/>
        </w:rPr>
        <w:t>2026</w:t>
      </w:r>
      <w:r>
        <w:rPr>
          <w:rFonts w:hint="eastAsia"/>
        </w:rPr>
        <w:t>年全年指引</w:t>
      </w:r>
    </w:p>
    <w:p w14:paraId="18861306" w14:textId="77777777" w:rsidR="00DF6A28" w:rsidRDefault="00DF6A28" w:rsidP="00DF6A28">
      <w:r w:rsidRPr="004133C8">
        <w:rPr>
          <w:noProof/>
        </w:rPr>
        <w:drawing>
          <wp:inline distT="0" distB="0" distL="0" distR="0" wp14:anchorId="45426A38" wp14:editId="588127E0">
            <wp:extent cx="6333067" cy="4172374"/>
            <wp:effectExtent l="0" t="0" r="4445" b="6350"/>
            <wp:docPr id="1204788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88813" name="图片 1"/>
                    <pic:cNvPicPr/>
                  </pic:nvPicPr>
                  <pic:blipFill>
                    <a:blip r:embed="rId83">
                      <a:extLst>
                        <a:ext uri="{28A0092B-C50C-407E-A947-70E740481C1C}">
                          <a14:useLocalDpi xmlns:a14="http://schemas.microsoft.com/office/drawing/2010/main" val="0"/>
                        </a:ext>
                      </a:extLst>
                    </a:blip>
                    <a:stretch>
                      <a:fillRect/>
                    </a:stretch>
                  </pic:blipFill>
                  <pic:spPr>
                    <a:xfrm>
                      <a:off x="0" y="0"/>
                      <a:ext cx="6387521" cy="4208250"/>
                    </a:xfrm>
                    <a:prstGeom prst="rect">
                      <a:avLst/>
                    </a:prstGeom>
                  </pic:spPr>
                </pic:pic>
              </a:graphicData>
            </a:graphic>
          </wp:inline>
        </w:drawing>
      </w:r>
    </w:p>
    <w:p w14:paraId="33231D77" w14:textId="496F905E" w:rsidR="00DF6A28" w:rsidRPr="0010770A" w:rsidRDefault="0071457B" w:rsidP="005F3D04">
      <w:r w:rsidRPr="0071457B">
        <w:t>管理层预计，第三季度浓缩液销售增速落后体系销量约1个百分点，全年略低于体系销量；第四季度较上年少六个财务报告日，并有望受益于CCBA再特许经营带来的毛利率及营业利润率提升。</w:t>
      </w:r>
    </w:p>
    <w:p w14:paraId="3E6CB54A" w14:textId="38E9F1AF" w:rsidR="00702952" w:rsidRDefault="00702952" w:rsidP="00702952">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65</w:t>
      </w:r>
      <w:r>
        <w:fldChar w:fldCharType="end"/>
      </w:r>
      <w:r>
        <w:rPr>
          <w:rFonts w:hint="eastAsia"/>
        </w:rPr>
        <w:t>：长期目标</w:t>
      </w:r>
    </w:p>
    <w:p w14:paraId="389D028C" w14:textId="49E0FC0B" w:rsidR="00DF6A28" w:rsidRDefault="00702952" w:rsidP="005F3D04">
      <w:r w:rsidRPr="00702952">
        <w:rPr>
          <w:noProof/>
        </w:rPr>
        <w:drawing>
          <wp:inline distT="0" distB="0" distL="0" distR="0" wp14:anchorId="5732107B" wp14:editId="419A4652">
            <wp:extent cx="6645910" cy="3472180"/>
            <wp:effectExtent l="0" t="0" r="0" b="0"/>
            <wp:docPr id="2023026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26253" name=""/>
                    <pic:cNvPicPr/>
                  </pic:nvPicPr>
                  <pic:blipFill>
                    <a:blip r:embed="rId84"/>
                    <a:stretch>
                      <a:fillRect/>
                    </a:stretch>
                  </pic:blipFill>
                  <pic:spPr>
                    <a:xfrm>
                      <a:off x="0" y="0"/>
                      <a:ext cx="6645910" cy="3472180"/>
                    </a:xfrm>
                    <a:prstGeom prst="rect">
                      <a:avLst/>
                    </a:prstGeom>
                  </pic:spPr>
                </pic:pic>
              </a:graphicData>
            </a:graphic>
          </wp:inline>
        </w:drawing>
      </w:r>
    </w:p>
    <w:p w14:paraId="6929E0E8" w14:textId="77777777" w:rsidR="0071457B" w:rsidRDefault="0071457B" w:rsidP="005F3D04"/>
    <w:p w14:paraId="33A0FB6B" w14:textId="4E167930" w:rsidR="00254235" w:rsidRDefault="00254235" w:rsidP="00254235">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66</w:t>
      </w:r>
      <w:r>
        <w:fldChar w:fldCharType="end"/>
      </w:r>
      <w:r>
        <w:rPr>
          <w:rFonts w:hint="eastAsia"/>
        </w:rPr>
        <w:t>：绩效股票考核标准</w:t>
      </w:r>
    </w:p>
    <w:p w14:paraId="2E5F7FE5" w14:textId="3E24173E" w:rsidR="0071457B" w:rsidRDefault="00254235" w:rsidP="005F3D04">
      <w:r w:rsidRPr="00254235">
        <w:rPr>
          <w:noProof/>
        </w:rPr>
        <w:drawing>
          <wp:inline distT="0" distB="0" distL="0" distR="0" wp14:anchorId="099C6E95" wp14:editId="05819F10">
            <wp:extent cx="6645910" cy="1274445"/>
            <wp:effectExtent l="0" t="0" r="0" b="0"/>
            <wp:docPr id="195975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9921" name=""/>
                    <pic:cNvPicPr/>
                  </pic:nvPicPr>
                  <pic:blipFill>
                    <a:blip r:embed="rId85"/>
                    <a:stretch>
                      <a:fillRect/>
                    </a:stretch>
                  </pic:blipFill>
                  <pic:spPr>
                    <a:xfrm>
                      <a:off x="0" y="0"/>
                      <a:ext cx="6645910" cy="1274445"/>
                    </a:xfrm>
                    <a:prstGeom prst="rect">
                      <a:avLst/>
                    </a:prstGeom>
                  </pic:spPr>
                </pic:pic>
              </a:graphicData>
            </a:graphic>
          </wp:inline>
        </w:drawing>
      </w:r>
    </w:p>
    <w:p w14:paraId="4CFF2720" w14:textId="77777777" w:rsidR="00DF6A28" w:rsidRDefault="00DF6A28" w:rsidP="005F3D04"/>
    <w:p w14:paraId="0F13A30F" w14:textId="70C57F8C" w:rsidR="005F3D04" w:rsidRPr="00D24FA8" w:rsidRDefault="00D24FA8" w:rsidP="00D24FA8">
      <w:pPr>
        <w:pStyle w:val="a9"/>
        <w:numPr>
          <w:ilvl w:val="0"/>
          <w:numId w:val="21"/>
        </w:numPr>
        <w:rPr>
          <w:b/>
          <w:bCs/>
        </w:rPr>
      </w:pPr>
      <w:r w:rsidRPr="00D24FA8">
        <w:rPr>
          <w:rFonts w:hint="eastAsia"/>
          <w:b/>
          <w:bCs/>
        </w:rPr>
        <w:t>催化剂</w:t>
      </w:r>
    </w:p>
    <w:p w14:paraId="71BF1979" w14:textId="4CEB908B" w:rsidR="002B751F" w:rsidRDefault="002B751F" w:rsidP="002B751F">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67</w:t>
      </w:r>
      <w:r>
        <w:fldChar w:fldCharType="end"/>
      </w:r>
      <w:r>
        <w:rPr>
          <w:rFonts w:hint="eastAsia"/>
        </w:rPr>
        <w:t>：近未来重要事件</w:t>
      </w:r>
    </w:p>
    <w:p w14:paraId="7F63311D" w14:textId="0649A84F" w:rsidR="005F3D04" w:rsidRDefault="00793FFD" w:rsidP="005F3D04">
      <w:r w:rsidRPr="00793FFD">
        <w:rPr>
          <w:noProof/>
        </w:rPr>
        <w:drawing>
          <wp:inline distT="0" distB="0" distL="0" distR="0" wp14:anchorId="52CA9399" wp14:editId="4B54850D">
            <wp:extent cx="5985510" cy="2859502"/>
            <wp:effectExtent l="0" t="0" r="0" b="0"/>
            <wp:docPr id="1514285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85587" name=""/>
                    <pic:cNvPicPr/>
                  </pic:nvPicPr>
                  <pic:blipFill>
                    <a:blip r:embed="rId86"/>
                    <a:stretch>
                      <a:fillRect/>
                    </a:stretch>
                  </pic:blipFill>
                  <pic:spPr>
                    <a:xfrm>
                      <a:off x="0" y="0"/>
                      <a:ext cx="6019260" cy="2875626"/>
                    </a:xfrm>
                    <a:prstGeom prst="rect">
                      <a:avLst/>
                    </a:prstGeom>
                  </pic:spPr>
                </pic:pic>
              </a:graphicData>
            </a:graphic>
          </wp:inline>
        </w:drawing>
      </w:r>
    </w:p>
    <w:p w14:paraId="1B602E5B" w14:textId="77777777" w:rsidR="005F3D04" w:rsidRDefault="005F3D04" w:rsidP="005F3D04"/>
    <w:p w14:paraId="32D348B2" w14:textId="652D7841" w:rsidR="005F3D04" w:rsidRDefault="001F4549" w:rsidP="001F4549">
      <w:pPr>
        <w:pStyle w:val="2"/>
      </w:pPr>
      <w:r>
        <w:rPr>
          <w:rFonts w:hint="eastAsia"/>
        </w:rPr>
        <w:t>估值</w:t>
      </w:r>
    </w:p>
    <w:p w14:paraId="6E98A79B" w14:textId="6B2F12BA" w:rsidR="005F3D04" w:rsidRDefault="00C808EE" w:rsidP="005F3D04">
      <w:r w:rsidRPr="00C808EE">
        <w:rPr>
          <w:noProof/>
        </w:rPr>
        <w:drawing>
          <wp:inline distT="0" distB="0" distL="0" distR="0" wp14:anchorId="07EE5E9D" wp14:editId="51D05840">
            <wp:extent cx="6645910" cy="2113280"/>
            <wp:effectExtent l="0" t="0" r="0" b="0"/>
            <wp:docPr id="1259764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4580" name=""/>
                    <pic:cNvPicPr/>
                  </pic:nvPicPr>
                  <pic:blipFill>
                    <a:blip r:embed="rId87"/>
                    <a:stretch>
                      <a:fillRect/>
                    </a:stretch>
                  </pic:blipFill>
                  <pic:spPr>
                    <a:xfrm>
                      <a:off x="0" y="0"/>
                      <a:ext cx="6645910" cy="2113280"/>
                    </a:xfrm>
                    <a:prstGeom prst="rect">
                      <a:avLst/>
                    </a:prstGeom>
                  </pic:spPr>
                </pic:pic>
              </a:graphicData>
            </a:graphic>
          </wp:inline>
        </w:drawing>
      </w:r>
    </w:p>
    <w:p w14:paraId="1B1D49B5" w14:textId="2ECFB89C" w:rsidR="00B22E92" w:rsidRDefault="00B22E92" w:rsidP="00B22E92">
      <w:r>
        <w:t>以15%的要求年化回报率、2031年末退出为基准，KO的合理买入价格约为42.85—67.6</w:t>
      </w:r>
      <w:r>
        <w:rPr>
          <w:rFonts w:hint="eastAsia"/>
        </w:rPr>
        <w:t>6</w:t>
      </w:r>
      <w:r>
        <w:t>美元，基准情景为5</w:t>
      </w:r>
      <w:r>
        <w:rPr>
          <w:rFonts w:hint="eastAsia"/>
        </w:rPr>
        <w:t>5</w:t>
      </w:r>
      <w:r>
        <w:t>.</w:t>
      </w:r>
      <w:r>
        <w:rPr>
          <w:rFonts w:hint="eastAsia"/>
        </w:rPr>
        <w:t>49</w:t>
      </w:r>
      <w:r>
        <w:t>美元。按底稿采用的92美元买入，三种情景的预期年化总回报分别约为</w:t>
      </w:r>
      <w:r>
        <w:rPr>
          <w:rFonts w:ascii="Cambria Math" w:hAnsi="Cambria Math" w:cs="Cambria Math"/>
        </w:rPr>
        <w:t>−</w:t>
      </w:r>
      <w:r>
        <w:t>1.7%、</w:t>
      </w:r>
      <w:r>
        <w:rPr>
          <w:rFonts w:hint="eastAsia"/>
        </w:rPr>
        <w:t>3.7</w:t>
      </w:r>
      <w:r>
        <w:t>%和</w:t>
      </w:r>
      <w:r>
        <w:rPr>
          <w:rFonts w:hint="eastAsia"/>
        </w:rPr>
        <w:t>7.7</w:t>
      </w:r>
      <w:r>
        <w:t>%，均低于15%的回报要求。</w:t>
      </w:r>
    </w:p>
    <w:p w14:paraId="4599B4E0" w14:textId="71EA168E" w:rsidR="00B22E92" w:rsidRDefault="00B22E92" w:rsidP="00B22E92">
      <w:r>
        <w:lastRenderedPageBreak/>
        <w:t>估值日为2026年10月16日，至2031年末实际持有约5.21年。模型将持有期内的每股现金分红与退出价值分别折现，其中，退出价值由2031年正常化归母净利润、退出市盈率及期末实际股数共同决定。回购通过净缩股提高每股价值，现金预算同时覆盖分红、回购和其他必要用途，避免将同一笔现金重复计入股东回报。</w:t>
      </w:r>
    </w:p>
    <w:p w14:paraId="34BCD8CE" w14:textId="5643693B" w:rsidR="00B22E92" w:rsidRDefault="00B22E92" w:rsidP="00B22E92">
      <w:r>
        <w:t>三种情景主要体现经营增长、利润率改善和退出估值的差异。保守情景假设远期有机收入每年增长约3%，营业利润率前两年略有回落，此后稳定，净股数基本不变；基准情景假设有机收入增速由5%逐步降至4%，营业利润率每年改善约0.3个百分点，</w:t>
      </w:r>
      <w:r w:rsidR="006E44D5">
        <w:t>净股数基本不变</w:t>
      </w:r>
      <w:r>
        <w:t>；乐观情景假设有机收入增速由6%逐步降至5%，利润率改善更快，净股数每年减少0.</w:t>
      </w:r>
      <w:r w:rsidR="006E44D5">
        <w:rPr>
          <w:rFonts w:hint="eastAsia"/>
        </w:rPr>
        <w:t>2</w:t>
      </w:r>
      <w:r>
        <w:t>%。上述路径均为分析假设，并非公司对各年度的正式指引。</w:t>
      </w:r>
    </w:p>
    <w:p w14:paraId="3B12B8AE" w14:textId="1E479CD9" w:rsidR="0052171F" w:rsidRDefault="0052171F" w:rsidP="0052171F">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68</w:t>
      </w:r>
      <w:r>
        <w:fldChar w:fldCharType="end"/>
      </w:r>
      <w:r>
        <w:rPr>
          <w:rFonts w:hint="eastAsia"/>
        </w:rPr>
        <w:t>：估值参数假设</w:t>
      </w:r>
    </w:p>
    <w:p w14:paraId="14FD4FCF" w14:textId="3190A0C5" w:rsidR="00B22E92" w:rsidRDefault="0052171F" w:rsidP="00B22E92">
      <w:r w:rsidRPr="0052171F">
        <w:rPr>
          <w:noProof/>
        </w:rPr>
        <w:drawing>
          <wp:inline distT="0" distB="0" distL="0" distR="0" wp14:anchorId="147460D6" wp14:editId="787BA674">
            <wp:extent cx="6645910" cy="8405495"/>
            <wp:effectExtent l="0" t="0" r="0" b="1905"/>
            <wp:docPr id="1043719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9529" name=""/>
                    <pic:cNvPicPr/>
                  </pic:nvPicPr>
                  <pic:blipFill>
                    <a:blip r:embed="rId88"/>
                    <a:stretch>
                      <a:fillRect/>
                    </a:stretch>
                  </pic:blipFill>
                  <pic:spPr>
                    <a:xfrm>
                      <a:off x="0" y="0"/>
                      <a:ext cx="6645910" cy="8405495"/>
                    </a:xfrm>
                    <a:prstGeom prst="rect">
                      <a:avLst/>
                    </a:prstGeom>
                  </pic:spPr>
                </pic:pic>
              </a:graphicData>
            </a:graphic>
          </wp:inline>
        </w:drawing>
      </w:r>
    </w:p>
    <w:p w14:paraId="1EA2DBBE" w14:textId="36B30DB3" w:rsidR="0073476D" w:rsidRDefault="0073476D" w:rsidP="0073476D">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D6686">
        <w:rPr>
          <w:noProof/>
        </w:rPr>
        <w:t>69</w:t>
      </w:r>
      <w:r>
        <w:fldChar w:fldCharType="end"/>
      </w:r>
      <w:r>
        <w:rPr>
          <w:rFonts w:hint="eastAsia"/>
        </w:rPr>
        <w:t>：估值结果</w:t>
      </w:r>
    </w:p>
    <w:p w14:paraId="78639989" w14:textId="4DE6E2CE" w:rsidR="005F3D04" w:rsidRDefault="0073476D" w:rsidP="005F3D04">
      <w:r w:rsidRPr="0073476D">
        <w:rPr>
          <w:noProof/>
        </w:rPr>
        <w:drawing>
          <wp:inline distT="0" distB="0" distL="0" distR="0" wp14:anchorId="2D97E2F9" wp14:editId="36694F00">
            <wp:extent cx="6645910" cy="4178935"/>
            <wp:effectExtent l="0" t="0" r="0" b="0"/>
            <wp:docPr id="165475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6179" name=""/>
                    <pic:cNvPicPr/>
                  </pic:nvPicPr>
                  <pic:blipFill>
                    <a:blip r:embed="rId89"/>
                    <a:stretch>
                      <a:fillRect/>
                    </a:stretch>
                  </pic:blipFill>
                  <pic:spPr>
                    <a:xfrm>
                      <a:off x="0" y="0"/>
                      <a:ext cx="6645910" cy="4178935"/>
                    </a:xfrm>
                    <a:prstGeom prst="rect">
                      <a:avLst/>
                    </a:prstGeom>
                  </pic:spPr>
                </pic:pic>
              </a:graphicData>
            </a:graphic>
          </wp:inline>
        </w:drawing>
      </w:r>
    </w:p>
    <w:p w14:paraId="7037137C" w14:textId="77777777" w:rsidR="00D30086" w:rsidRPr="00BF35B0" w:rsidRDefault="00D30086" w:rsidP="00BF35B0"/>
    <w:sectPr w:rsidR="00D30086" w:rsidRPr="00BF35B0" w:rsidSect="00BF35B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5pt;height:15.35pt" o:bullet="t">
        <v:imagedata r:id="rId1" o:title="mso0AD100EF"/>
      </v:shape>
    </w:pict>
  </w:numPicBullet>
  <w:abstractNum w:abstractNumId="0" w15:restartNumberingAfterBreak="0">
    <w:nsid w:val="0C250DA6"/>
    <w:multiLevelType w:val="hybridMultilevel"/>
    <w:tmpl w:val="9DA8CA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EB97968"/>
    <w:multiLevelType w:val="hybridMultilevel"/>
    <w:tmpl w:val="B5AE6FE4"/>
    <w:lvl w:ilvl="0" w:tplc="E6D298D6">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17B4148"/>
    <w:multiLevelType w:val="hybridMultilevel"/>
    <w:tmpl w:val="57389A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5435CEA"/>
    <w:multiLevelType w:val="hybridMultilevel"/>
    <w:tmpl w:val="A178295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216F4876"/>
    <w:multiLevelType w:val="hybridMultilevel"/>
    <w:tmpl w:val="98FC667E"/>
    <w:lvl w:ilvl="0" w:tplc="0409000D">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17D7108"/>
    <w:multiLevelType w:val="hybridMultilevel"/>
    <w:tmpl w:val="0E58BC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875962"/>
    <w:multiLevelType w:val="hybridMultilevel"/>
    <w:tmpl w:val="8850E1C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A1B0DD0"/>
    <w:multiLevelType w:val="hybridMultilevel"/>
    <w:tmpl w:val="428EB5A2"/>
    <w:lvl w:ilvl="0" w:tplc="04090005">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34264D8D"/>
    <w:multiLevelType w:val="hybridMultilevel"/>
    <w:tmpl w:val="D776864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70613EC"/>
    <w:multiLevelType w:val="hybridMultilevel"/>
    <w:tmpl w:val="4D6EF8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28D5ADB"/>
    <w:multiLevelType w:val="hybridMultilevel"/>
    <w:tmpl w:val="9AD2F1C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3F00CBC"/>
    <w:multiLevelType w:val="hybridMultilevel"/>
    <w:tmpl w:val="86E6AC2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9462616"/>
    <w:multiLevelType w:val="hybridMultilevel"/>
    <w:tmpl w:val="1800412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B5468EB"/>
    <w:multiLevelType w:val="hybridMultilevel"/>
    <w:tmpl w:val="B590C99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609A33E6"/>
    <w:multiLevelType w:val="hybridMultilevel"/>
    <w:tmpl w:val="5552A374"/>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6C736CD"/>
    <w:multiLevelType w:val="hybridMultilevel"/>
    <w:tmpl w:val="3712105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A9A600C"/>
    <w:multiLevelType w:val="hybridMultilevel"/>
    <w:tmpl w:val="9FFE4A1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E4D4EA8"/>
    <w:multiLevelType w:val="hybridMultilevel"/>
    <w:tmpl w:val="95625EEC"/>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FCF324A"/>
    <w:multiLevelType w:val="hybridMultilevel"/>
    <w:tmpl w:val="ED3E06E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764E673E"/>
    <w:multiLevelType w:val="hybridMultilevel"/>
    <w:tmpl w:val="36DE6D1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77D90D34"/>
    <w:multiLevelType w:val="hybridMultilevel"/>
    <w:tmpl w:val="82FED8D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BE8360E"/>
    <w:multiLevelType w:val="hybridMultilevel"/>
    <w:tmpl w:val="106A24C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F8A320E"/>
    <w:multiLevelType w:val="hybridMultilevel"/>
    <w:tmpl w:val="13C8611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19235051">
    <w:abstractNumId w:val="9"/>
  </w:num>
  <w:num w:numId="2" w16cid:durableId="474567602">
    <w:abstractNumId w:val="3"/>
  </w:num>
  <w:num w:numId="3" w16cid:durableId="900211260">
    <w:abstractNumId w:val="0"/>
  </w:num>
  <w:num w:numId="4" w16cid:durableId="1154373708">
    <w:abstractNumId w:val="2"/>
  </w:num>
  <w:num w:numId="5" w16cid:durableId="1161460842">
    <w:abstractNumId w:val="8"/>
  </w:num>
  <w:num w:numId="6" w16cid:durableId="1150944304">
    <w:abstractNumId w:val="11"/>
  </w:num>
  <w:num w:numId="7" w16cid:durableId="1887523162">
    <w:abstractNumId w:val="6"/>
  </w:num>
  <w:num w:numId="8" w16cid:durableId="1011951333">
    <w:abstractNumId w:val="12"/>
  </w:num>
  <w:num w:numId="9" w16cid:durableId="123037327">
    <w:abstractNumId w:val="10"/>
  </w:num>
  <w:num w:numId="10" w16cid:durableId="93787012">
    <w:abstractNumId w:val="14"/>
  </w:num>
  <w:num w:numId="11" w16cid:durableId="1148522018">
    <w:abstractNumId w:val="17"/>
  </w:num>
  <w:num w:numId="12" w16cid:durableId="800919809">
    <w:abstractNumId w:val="20"/>
  </w:num>
  <w:num w:numId="13" w16cid:durableId="876435744">
    <w:abstractNumId w:val="21"/>
  </w:num>
  <w:num w:numId="14" w16cid:durableId="2041782611">
    <w:abstractNumId w:val="4"/>
  </w:num>
  <w:num w:numId="15" w16cid:durableId="1668943950">
    <w:abstractNumId w:val="5"/>
  </w:num>
  <w:num w:numId="16" w16cid:durableId="2009093855">
    <w:abstractNumId w:val="15"/>
  </w:num>
  <w:num w:numId="17" w16cid:durableId="211620069">
    <w:abstractNumId w:val="19"/>
  </w:num>
  <w:num w:numId="18" w16cid:durableId="1711346334">
    <w:abstractNumId w:val="18"/>
  </w:num>
  <w:num w:numId="19" w16cid:durableId="253058321">
    <w:abstractNumId w:val="7"/>
  </w:num>
  <w:num w:numId="20" w16cid:durableId="1748763663">
    <w:abstractNumId w:val="16"/>
  </w:num>
  <w:num w:numId="21" w16cid:durableId="1355955523">
    <w:abstractNumId w:val="22"/>
  </w:num>
  <w:num w:numId="22" w16cid:durableId="291834995">
    <w:abstractNumId w:val="13"/>
  </w:num>
  <w:num w:numId="23" w16cid:durableId="2349732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2A"/>
    <w:rsid w:val="000023AB"/>
    <w:rsid w:val="00003120"/>
    <w:rsid w:val="000045AF"/>
    <w:rsid w:val="00006957"/>
    <w:rsid w:val="00010CCA"/>
    <w:rsid w:val="000129D1"/>
    <w:rsid w:val="0001350F"/>
    <w:rsid w:val="00014150"/>
    <w:rsid w:val="00020201"/>
    <w:rsid w:val="00020CEA"/>
    <w:rsid w:val="00023D7A"/>
    <w:rsid w:val="000258A4"/>
    <w:rsid w:val="0002792D"/>
    <w:rsid w:val="0004634E"/>
    <w:rsid w:val="00046FFB"/>
    <w:rsid w:val="00057DB9"/>
    <w:rsid w:val="00070E89"/>
    <w:rsid w:val="00072611"/>
    <w:rsid w:val="000762CC"/>
    <w:rsid w:val="00076CB0"/>
    <w:rsid w:val="00076DA6"/>
    <w:rsid w:val="00083264"/>
    <w:rsid w:val="0009020B"/>
    <w:rsid w:val="00091FC5"/>
    <w:rsid w:val="00092043"/>
    <w:rsid w:val="00094D68"/>
    <w:rsid w:val="0009669D"/>
    <w:rsid w:val="00096B22"/>
    <w:rsid w:val="000A478D"/>
    <w:rsid w:val="000A788F"/>
    <w:rsid w:val="000B0A01"/>
    <w:rsid w:val="000B3D01"/>
    <w:rsid w:val="000B40DC"/>
    <w:rsid w:val="000B59C2"/>
    <w:rsid w:val="000C2062"/>
    <w:rsid w:val="000C4A67"/>
    <w:rsid w:val="000C6877"/>
    <w:rsid w:val="000D199B"/>
    <w:rsid w:val="000D214F"/>
    <w:rsid w:val="000E0B71"/>
    <w:rsid w:val="000E2C23"/>
    <w:rsid w:val="000E41A6"/>
    <w:rsid w:val="000E48C1"/>
    <w:rsid w:val="000E7F02"/>
    <w:rsid w:val="000F07C9"/>
    <w:rsid w:val="000F4C7B"/>
    <w:rsid w:val="000F5614"/>
    <w:rsid w:val="00105EAF"/>
    <w:rsid w:val="00106683"/>
    <w:rsid w:val="0010770A"/>
    <w:rsid w:val="0011082D"/>
    <w:rsid w:val="001155EC"/>
    <w:rsid w:val="001206F0"/>
    <w:rsid w:val="00121AA5"/>
    <w:rsid w:val="00122B51"/>
    <w:rsid w:val="0012369A"/>
    <w:rsid w:val="0012443A"/>
    <w:rsid w:val="0013144E"/>
    <w:rsid w:val="00132AC2"/>
    <w:rsid w:val="001338F1"/>
    <w:rsid w:val="00134B8D"/>
    <w:rsid w:val="001379CA"/>
    <w:rsid w:val="00140F82"/>
    <w:rsid w:val="00142ED1"/>
    <w:rsid w:val="001458AE"/>
    <w:rsid w:val="00146F85"/>
    <w:rsid w:val="001635FF"/>
    <w:rsid w:val="001639A4"/>
    <w:rsid w:val="00166013"/>
    <w:rsid w:val="00167BE1"/>
    <w:rsid w:val="00182DE2"/>
    <w:rsid w:val="00193047"/>
    <w:rsid w:val="00193921"/>
    <w:rsid w:val="0019612F"/>
    <w:rsid w:val="00197F5C"/>
    <w:rsid w:val="001A1F30"/>
    <w:rsid w:val="001A27B8"/>
    <w:rsid w:val="001A380A"/>
    <w:rsid w:val="001A4C7C"/>
    <w:rsid w:val="001A77F6"/>
    <w:rsid w:val="001B0286"/>
    <w:rsid w:val="001B220C"/>
    <w:rsid w:val="001B3FF5"/>
    <w:rsid w:val="001B4CB3"/>
    <w:rsid w:val="001C2B7B"/>
    <w:rsid w:val="001C4B49"/>
    <w:rsid w:val="001D0358"/>
    <w:rsid w:val="001D1ACA"/>
    <w:rsid w:val="001D2D0C"/>
    <w:rsid w:val="001D6B0A"/>
    <w:rsid w:val="001D6D74"/>
    <w:rsid w:val="001E0D37"/>
    <w:rsid w:val="001E2691"/>
    <w:rsid w:val="001E37CE"/>
    <w:rsid w:val="001E3AC3"/>
    <w:rsid w:val="001E6640"/>
    <w:rsid w:val="001F4549"/>
    <w:rsid w:val="002003AC"/>
    <w:rsid w:val="00201858"/>
    <w:rsid w:val="00202EA8"/>
    <w:rsid w:val="00203DC7"/>
    <w:rsid w:val="00206F14"/>
    <w:rsid w:val="002074B5"/>
    <w:rsid w:val="0021471D"/>
    <w:rsid w:val="002154CF"/>
    <w:rsid w:val="0022030A"/>
    <w:rsid w:val="00224A0C"/>
    <w:rsid w:val="00227BD1"/>
    <w:rsid w:val="00230FCF"/>
    <w:rsid w:val="0023362B"/>
    <w:rsid w:val="00237B89"/>
    <w:rsid w:val="002405D3"/>
    <w:rsid w:val="00241268"/>
    <w:rsid w:val="002419C7"/>
    <w:rsid w:val="00250B6C"/>
    <w:rsid w:val="0025185B"/>
    <w:rsid w:val="00251B1B"/>
    <w:rsid w:val="00251F1B"/>
    <w:rsid w:val="00252864"/>
    <w:rsid w:val="0025304C"/>
    <w:rsid w:val="00253DFE"/>
    <w:rsid w:val="00254235"/>
    <w:rsid w:val="002562FA"/>
    <w:rsid w:val="00256AE1"/>
    <w:rsid w:val="00257500"/>
    <w:rsid w:val="0026002C"/>
    <w:rsid w:val="00260502"/>
    <w:rsid w:val="002646D2"/>
    <w:rsid w:val="0026500C"/>
    <w:rsid w:val="00275881"/>
    <w:rsid w:val="00275C4B"/>
    <w:rsid w:val="0028246A"/>
    <w:rsid w:val="00283618"/>
    <w:rsid w:val="00284C82"/>
    <w:rsid w:val="0028666E"/>
    <w:rsid w:val="00291E4B"/>
    <w:rsid w:val="00293495"/>
    <w:rsid w:val="00293995"/>
    <w:rsid w:val="00294784"/>
    <w:rsid w:val="0029677B"/>
    <w:rsid w:val="002973F9"/>
    <w:rsid w:val="002A0029"/>
    <w:rsid w:val="002B0351"/>
    <w:rsid w:val="002B0449"/>
    <w:rsid w:val="002B0BC7"/>
    <w:rsid w:val="002B21AD"/>
    <w:rsid w:val="002B43C8"/>
    <w:rsid w:val="002B751F"/>
    <w:rsid w:val="002C1F26"/>
    <w:rsid w:val="002C4914"/>
    <w:rsid w:val="002D2C30"/>
    <w:rsid w:val="002D3B68"/>
    <w:rsid w:val="002D55FA"/>
    <w:rsid w:val="002D586E"/>
    <w:rsid w:val="002E254A"/>
    <w:rsid w:val="002E2AC7"/>
    <w:rsid w:val="002E3629"/>
    <w:rsid w:val="002F5163"/>
    <w:rsid w:val="002F5950"/>
    <w:rsid w:val="0030062E"/>
    <w:rsid w:val="00300B00"/>
    <w:rsid w:val="00301C12"/>
    <w:rsid w:val="00304BB7"/>
    <w:rsid w:val="00310F6E"/>
    <w:rsid w:val="0031290A"/>
    <w:rsid w:val="003140DE"/>
    <w:rsid w:val="0031684D"/>
    <w:rsid w:val="00320324"/>
    <w:rsid w:val="00324157"/>
    <w:rsid w:val="0032484A"/>
    <w:rsid w:val="0032599A"/>
    <w:rsid w:val="003259BE"/>
    <w:rsid w:val="00327535"/>
    <w:rsid w:val="0033048F"/>
    <w:rsid w:val="00331AFF"/>
    <w:rsid w:val="00333AAF"/>
    <w:rsid w:val="00334F49"/>
    <w:rsid w:val="00336F44"/>
    <w:rsid w:val="00340BFE"/>
    <w:rsid w:val="00340C0B"/>
    <w:rsid w:val="003441EC"/>
    <w:rsid w:val="003443CA"/>
    <w:rsid w:val="00344BCE"/>
    <w:rsid w:val="003462EB"/>
    <w:rsid w:val="00347236"/>
    <w:rsid w:val="003518DD"/>
    <w:rsid w:val="00352E29"/>
    <w:rsid w:val="00353838"/>
    <w:rsid w:val="00353DE8"/>
    <w:rsid w:val="003552E2"/>
    <w:rsid w:val="00361866"/>
    <w:rsid w:val="00366F2F"/>
    <w:rsid w:val="00367ED0"/>
    <w:rsid w:val="00370D03"/>
    <w:rsid w:val="0037180F"/>
    <w:rsid w:val="00371F4B"/>
    <w:rsid w:val="00371F67"/>
    <w:rsid w:val="00375723"/>
    <w:rsid w:val="00381B3F"/>
    <w:rsid w:val="00381DD1"/>
    <w:rsid w:val="00383980"/>
    <w:rsid w:val="00384E12"/>
    <w:rsid w:val="003910B1"/>
    <w:rsid w:val="00393B41"/>
    <w:rsid w:val="0039621C"/>
    <w:rsid w:val="0039795B"/>
    <w:rsid w:val="003A4861"/>
    <w:rsid w:val="003A7D69"/>
    <w:rsid w:val="003B1F5D"/>
    <w:rsid w:val="003B40ED"/>
    <w:rsid w:val="003B4B9E"/>
    <w:rsid w:val="003B5D56"/>
    <w:rsid w:val="003C3ADF"/>
    <w:rsid w:val="003D1E57"/>
    <w:rsid w:val="003D2664"/>
    <w:rsid w:val="003D5F77"/>
    <w:rsid w:val="003D6C71"/>
    <w:rsid w:val="003E105B"/>
    <w:rsid w:val="003F44BD"/>
    <w:rsid w:val="00404EE5"/>
    <w:rsid w:val="004052A8"/>
    <w:rsid w:val="00405587"/>
    <w:rsid w:val="00412361"/>
    <w:rsid w:val="0041242D"/>
    <w:rsid w:val="00412780"/>
    <w:rsid w:val="004131B7"/>
    <w:rsid w:val="004133C8"/>
    <w:rsid w:val="0041404E"/>
    <w:rsid w:val="00415469"/>
    <w:rsid w:val="004155EE"/>
    <w:rsid w:val="00420F73"/>
    <w:rsid w:val="004270BD"/>
    <w:rsid w:val="00427F2A"/>
    <w:rsid w:val="004320E5"/>
    <w:rsid w:val="00433C1F"/>
    <w:rsid w:val="004348C5"/>
    <w:rsid w:val="004351CD"/>
    <w:rsid w:val="00435DD1"/>
    <w:rsid w:val="004370FF"/>
    <w:rsid w:val="00440802"/>
    <w:rsid w:val="00440A96"/>
    <w:rsid w:val="00442184"/>
    <w:rsid w:val="00447367"/>
    <w:rsid w:val="00451B47"/>
    <w:rsid w:val="00454132"/>
    <w:rsid w:val="00455989"/>
    <w:rsid w:val="0045749C"/>
    <w:rsid w:val="0046195E"/>
    <w:rsid w:val="004675ED"/>
    <w:rsid w:val="004677D9"/>
    <w:rsid w:val="00467CD7"/>
    <w:rsid w:val="004760C3"/>
    <w:rsid w:val="00477954"/>
    <w:rsid w:val="004857D7"/>
    <w:rsid w:val="00487A08"/>
    <w:rsid w:val="00493524"/>
    <w:rsid w:val="0049352D"/>
    <w:rsid w:val="00493575"/>
    <w:rsid w:val="00497886"/>
    <w:rsid w:val="004A1E8A"/>
    <w:rsid w:val="004A4871"/>
    <w:rsid w:val="004A4BF6"/>
    <w:rsid w:val="004B067A"/>
    <w:rsid w:val="004B0F07"/>
    <w:rsid w:val="004B2BE0"/>
    <w:rsid w:val="004B3761"/>
    <w:rsid w:val="004B553B"/>
    <w:rsid w:val="004B7AE1"/>
    <w:rsid w:val="004B7BE8"/>
    <w:rsid w:val="004C0B74"/>
    <w:rsid w:val="004C2DDD"/>
    <w:rsid w:val="004C3ACC"/>
    <w:rsid w:val="004C3B7E"/>
    <w:rsid w:val="004D202B"/>
    <w:rsid w:val="004D2575"/>
    <w:rsid w:val="004D3F98"/>
    <w:rsid w:val="004D41E5"/>
    <w:rsid w:val="004E2139"/>
    <w:rsid w:val="004E4987"/>
    <w:rsid w:val="004E569C"/>
    <w:rsid w:val="004E5C97"/>
    <w:rsid w:val="004F10DF"/>
    <w:rsid w:val="004F299A"/>
    <w:rsid w:val="004F2F03"/>
    <w:rsid w:val="004F3337"/>
    <w:rsid w:val="004F7E4F"/>
    <w:rsid w:val="00500A65"/>
    <w:rsid w:val="00500AD8"/>
    <w:rsid w:val="005023C2"/>
    <w:rsid w:val="00503CC5"/>
    <w:rsid w:val="005041BB"/>
    <w:rsid w:val="00505053"/>
    <w:rsid w:val="0051590E"/>
    <w:rsid w:val="005164B3"/>
    <w:rsid w:val="00516591"/>
    <w:rsid w:val="00517956"/>
    <w:rsid w:val="0052171F"/>
    <w:rsid w:val="00524649"/>
    <w:rsid w:val="00525E95"/>
    <w:rsid w:val="005301BB"/>
    <w:rsid w:val="00532FF9"/>
    <w:rsid w:val="00541075"/>
    <w:rsid w:val="0054271A"/>
    <w:rsid w:val="00543BBA"/>
    <w:rsid w:val="00547A4F"/>
    <w:rsid w:val="00550349"/>
    <w:rsid w:val="00552012"/>
    <w:rsid w:val="005543A2"/>
    <w:rsid w:val="00556BDE"/>
    <w:rsid w:val="0055707D"/>
    <w:rsid w:val="00557C06"/>
    <w:rsid w:val="005625F5"/>
    <w:rsid w:val="0056383A"/>
    <w:rsid w:val="00564288"/>
    <w:rsid w:val="00566F4B"/>
    <w:rsid w:val="00567492"/>
    <w:rsid w:val="00567CCE"/>
    <w:rsid w:val="005702E1"/>
    <w:rsid w:val="00571147"/>
    <w:rsid w:val="0057165D"/>
    <w:rsid w:val="0057453A"/>
    <w:rsid w:val="0057597E"/>
    <w:rsid w:val="00576206"/>
    <w:rsid w:val="00576B5A"/>
    <w:rsid w:val="00580006"/>
    <w:rsid w:val="00581AA2"/>
    <w:rsid w:val="00581E58"/>
    <w:rsid w:val="00583417"/>
    <w:rsid w:val="00583CDE"/>
    <w:rsid w:val="0059259D"/>
    <w:rsid w:val="005A3811"/>
    <w:rsid w:val="005A54FA"/>
    <w:rsid w:val="005A6AFB"/>
    <w:rsid w:val="005A7FF2"/>
    <w:rsid w:val="005B0962"/>
    <w:rsid w:val="005B1D8C"/>
    <w:rsid w:val="005B52F2"/>
    <w:rsid w:val="005B6CEA"/>
    <w:rsid w:val="005B6D09"/>
    <w:rsid w:val="005E1125"/>
    <w:rsid w:val="005E20A7"/>
    <w:rsid w:val="005E5A04"/>
    <w:rsid w:val="005E754B"/>
    <w:rsid w:val="005E7886"/>
    <w:rsid w:val="005F15CE"/>
    <w:rsid w:val="005F3D04"/>
    <w:rsid w:val="005F5BEC"/>
    <w:rsid w:val="005F652B"/>
    <w:rsid w:val="00601BA5"/>
    <w:rsid w:val="006034A6"/>
    <w:rsid w:val="0060422F"/>
    <w:rsid w:val="00605954"/>
    <w:rsid w:val="006061D1"/>
    <w:rsid w:val="00620F5D"/>
    <w:rsid w:val="00621C6E"/>
    <w:rsid w:val="00622B4F"/>
    <w:rsid w:val="006242FF"/>
    <w:rsid w:val="00626FA6"/>
    <w:rsid w:val="00635C86"/>
    <w:rsid w:val="0064467A"/>
    <w:rsid w:val="00645780"/>
    <w:rsid w:val="0064590E"/>
    <w:rsid w:val="00650506"/>
    <w:rsid w:val="00654EB8"/>
    <w:rsid w:val="00656D04"/>
    <w:rsid w:val="00665E97"/>
    <w:rsid w:val="0066733F"/>
    <w:rsid w:val="00667C64"/>
    <w:rsid w:val="00672B30"/>
    <w:rsid w:val="00672FB3"/>
    <w:rsid w:val="006736E4"/>
    <w:rsid w:val="0067621E"/>
    <w:rsid w:val="00682C0D"/>
    <w:rsid w:val="006837B5"/>
    <w:rsid w:val="00687A09"/>
    <w:rsid w:val="00687A96"/>
    <w:rsid w:val="00690037"/>
    <w:rsid w:val="006902F9"/>
    <w:rsid w:val="00691C7F"/>
    <w:rsid w:val="006926EA"/>
    <w:rsid w:val="00694593"/>
    <w:rsid w:val="0069680F"/>
    <w:rsid w:val="00697259"/>
    <w:rsid w:val="00697A53"/>
    <w:rsid w:val="006A1B08"/>
    <w:rsid w:val="006A2445"/>
    <w:rsid w:val="006A3593"/>
    <w:rsid w:val="006A43FD"/>
    <w:rsid w:val="006B24D1"/>
    <w:rsid w:val="006B4E96"/>
    <w:rsid w:val="006B58BE"/>
    <w:rsid w:val="006B59D7"/>
    <w:rsid w:val="006C007C"/>
    <w:rsid w:val="006C1B12"/>
    <w:rsid w:val="006C2FB4"/>
    <w:rsid w:val="006C378A"/>
    <w:rsid w:val="006C6D66"/>
    <w:rsid w:val="006C7637"/>
    <w:rsid w:val="006C785C"/>
    <w:rsid w:val="006D0820"/>
    <w:rsid w:val="006D1F7C"/>
    <w:rsid w:val="006D2146"/>
    <w:rsid w:val="006D240B"/>
    <w:rsid w:val="006D6490"/>
    <w:rsid w:val="006E0925"/>
    <w:rsid w:val="006E0FE4"/>
    <w:rsid w:val="006E16D8"/>
    <w:rsid w:val="006E1B0D"/>
    <w:rsid w:val="006E3320"/>
    <w:rsid w:val="006E44D5"/>
    <w:rsid w:val="006F12B6"/>
    <w:rsid w:val="006F223D"/>
    <w:rsid w:val="006F2D70"/>
    <w:rsid w:val="006F33BD"/>
    <w:rsid w:val="006F44DC"/>
    <w:rsid w:val="006F5C6D"/>
    <w:rsid w:val="00701361"/>
    <w:rsid w:val="00702952"/>
    <w:rsid w:val="007036FD"/>
    <w:rsid w:val="00706B0A"/>
    <w:rsid w:val="00710E4A"/>
    <w:rsid w:val="0071457B"/>
    <w:rsid w:val="007273C1"/>
    <w:rsid w:val="0073090A"/>
    <w:rsid w:val="007314E8"/>
    <w:rsid w:val="0073323D"/>
    <w:rsid w:val="00733FFA"/>
    <w:rsid w:val="007344B8"/>
    <w:rsid w:val="0073476D"/>
    <w:rsid w:val="00736DEE"/>
    <w:rsid w:val="0073789E"/>
    <w:rsid w:val="00740B1F"/>
    <w:rsid w:val="00741469"/>
    <w:rsid w:val="007426E4"/>
    <w:rsid w:val="00743DB0"/>
    <w:rsid w:val="00744B50"/>
    <w:rsid w:val="00746A26"/>
    <w:rsid w:val="0075240E"/>
    <w:rsid w:val="00757019"/>
    <w:rsid w:val="00757123"/>
    <w:rsid w:val="007576CF"/>
    <w:rsid w:val="007605FF"/>
    <w:rsid w:val="007649D5"/>
    <w:rsid w:val="00765471"/>
    <w:rsid w:val="0076756D"/>
    <w:rsid w:val="00767C8A"/>
    <w:rsid w:val="00770CCE"/>
    <w:rsid w:val="00773839"/>
    <w:rsid w:val="00780EE4"/>
    <w:rsid w:val="007831DD"/>
    <w:rsid w:val="007842B5"/>
    <w:rsid w:val="00785582"/>
    <w:rsid w:val="0078776A"/>
    <w:rsid w:val="007912EF"/>
    <w:rsid w:val="00793CF9"/>
    <w:rsid w:val="00793FFD"/>
    <w:rsid w:val="007961A3"/>
    <w:rsid w:val="007A452A"/>
    <w:rsid w:val="007A4B86"/>
    <w:rsid w:val="007B0E33"/>
    <w:rsid w:val="007B105F"/>
    <w:rsid w:val="007B2605"/>
    <w:rsid w:val="007B56B5"/>
    <w:rsid w:val="007B78BC"/>
    <w:rsid w:val="007B7CC5"/>
    <w:rsid w:val="007C0161"/>
    <w:rsid w:val="007D1678"/>
    <w:rsid w:val="007D3E1C"/>
    <w:rsid w:val="007D6566"/>
    <w:rsid w:val="007D6686"/>
    <w:rsid w:val="007D78A9"/>
    <w:rsid w:val="007D79B9"/>
    <w:rsid w:val="007E1425"/>
    <w:rsid w:val="007E2A54"/>
    <w:rsid w:val="007E389B"/>
    <w:rsid w:val="007E55B6"/>
    <w:rsid w:val="007F15F5"/>
    <w:rsid w:val="007F1A87"/>
    <w:rsid w:val="007F5DC3"/>
    <w:rsid w:val="007F5DC8"/>
    <w:rsid w:val="007F6219"/>
    <w:rsid w:val="007F65A6"/>
    <w:rsid w:val="008037BC"/>
    <w:rsid w:val="00805B24"/>
    <w:rsid w:val="0081037E"/>
    <w:rsid w:val="008114B8"/>
    <w:rsid w:val="00815110"/>
    <w:rsid w:val="008222D6"/>
    <w:rsid w:val="0082622E"/>
    <w:rsid w:val="00826ADF"/>
    <w:rsid w:val="00826B18"/>
    <w:rsid w:val="00826E5A"/>
    <w:rsid w:val="00827065"/>
    <w:rsid w:val="00830127"/>
    <w:rsid w:val="00835D05"/>
    <w:rsid w:val="00835D9A"/>
    <w:rsid w:val="00842C88"/>
    <w:rsid w:val="00844842"/>
    <w:rsid w:val="00844CE2"/>
    <w:rsid w:val="00846792"/>
    <w:rsid w:val="00855A27"/>
    <w:rsid w:val="00856327"/>
    <w:rsid w:val="00856872"/>
    <w:rsid w:val="008569AD"/>
    <w:rsid w:val="00857CD9"/>
    <w:rsid w:val="008701AE"/>
    <w:rsid w:val="008706BB"/>
    <w:rsid w:val="00870CCF"/>
    <w:rsid w:val="00871BCC"/>
    <w:rsid w:val="0087340B"/>
    <w:rsid w:val="00873FC7"/>
    <w:rsid w:val="0087745C"/>
    <w:rsid w:val="008866B3"/>
    <w:rsid w:val="00890EA1"/>
    <w:rsid w:val="00891F7B"/>
    <w:rsid w:val="0089321D"/>
    <w:rsid w:val="00897334"/>
    <w:rsid w:val="008A17D8"/>
    <w:rsid w:val="008A31C4"/>
    <w:rsid w:val="008A5959"/>
    <w:rsid w:val="008A5CE6"/>
    <w:rsid w:val="008A68B2"/>
    <w:rsid w:val="008A740A"/>
    <w:rsid w:val="008C03E0"/>
    <w:rsid w:val="008C2F4D"/>
    <w:rsid w:val="008C6444"/>
    <w:rsid w:val="008C7469"/>
    <w:rsid w:val="008C7EF0"/>
    <w:rsid w:val="008D175B"/>
    <w:rsid w:val="008D3A64"/>
    <w:rsid w:val="008E0013"/>
    <w:rsid w:val="008E1E28"/>
    <w:rsid w:val="008E39F5"/>
    <w:rsid w:val="008E61F4"/>
    <w:rsid w:val="008E7069"/>
    <w:rsid w:val="008E7C52"/>
    <w:rsid w:val="008F21CB"/>
    <w:rsid w:val="008F2CCE"/>
    <w:rsid w:val="008F3E4B"/>
    <w:rsid w:val="00900A9B"/>
    <w:rsid w:val="00900EDB"/>
    <w:rsid w:val="00901FB5"/>
    <w:rsid w:val="00903504"/>
    <w:rsid w:val="009053C6"/>
    <w:rsid w:val="00913DA3"/>
    <w:rsid w:val="00914A8C"/>
    <w:rsid w:val="00917737"/>
    <w:rsid w:val="00923E0F"/>
    <w:rsid w:val="009268AB"/>
    <w:rsid w:val="0093083F"/>
    <w:rsid w:val="00934CD1"/>
    <w:rsid w:val="009364E0"/>
    <w:rsid w:val="0093695B"/>
    <w:rsid w:val="009415C9"/>
    <w:rsid w:val="009418AB"/>
    <w:rsid w:val="00941CC2"/>
    <w:rsid w:val="0094277F"/>
    <w:rsid w:val="00943AEB"/>
    <w:rsid w:val="009508B5"/>
    <w:rsid w:val="00957B4D"/>
    <w:rsid w:val="00964089"/>
    <w:rsid w:val="0097147C"/>
    <w:rsid w:val="00973447"/>
    <w:rsid w:val="0097519E"/>
    <w:rsid w:val="009777DA"/>
    <w:rsid w:val="0097793E"/>
    <w:rsid w:val="00980358"/>
    <w:rsid w:val="0098177C"/>
    <w:rsid w:val="009840C0"/>
    <w:rsid w:val="00986DD0"/>
    <w:rsid w:val="009A2108"/>
    <w:rsid w:val="009B02A2"/>
    <w:rsid w:val="009B0B90"/>
    <w:rsid w:val="009B1BC3"/>
    <w:rsid w:val="009B3BDF"/>
    <w:rsid w:val="009B40EA"/>
    <w:rsid w:val="009B469C"/>
    <w:rsid w:val="009B51C2"/>
    <w:rsid w:val="009B5D25"/>
    <w:rsid w:val="009B6909"/>
    <w:rsid w:val="009B7BF2"/>
    <w:rsid w:val="009C0692"/>
    <w:rsid w:val="009C1E10"/>
    <w:rsid w:val="009C1E4A"/>
    <w:rsid w:val="009C4FAD"/>
    <w:rsid w:val="009D2747"/>
    <w:rsid w:val="009D43B0"/>
    <w:rsid w:val="009D4C79"/>
    <w:rsid w:val="009E3FD7"/>
    <w:rsid w:val="009E4E86"/>
    <w:rsid w:val="009E7889"/>
    <w:rsid w:val="009E7E6D"/>
    <w:rsid w:val="009F4B26"/>
    <w:rsid w:val="009F4EE5"/>
    <w:rsid w:val="009F522E"/>
    <w:rsid w:val="00A02BC3"/>
    <w:rsid w:val="00A04182"/>
    <w:rsid w:val="00A04925"/>
    <w:rsid w:val="00A04D2C"/>
    <w:rsid w:val="00A05A79"/>
    <w:rsid w:val="00A1144F"/>
    <w:rsid w:val="00A1167B"/>
    <w:rsid w:val="00A1285D"/>
    <w:rsid w:val="00A1479F"/>
    <w:rsid w:val="00A14AC9"/>
    <w:rsid w:val="00A15F7E"/>
    <w:rsid w:val="00A17BB5"/>
    <w:rsid w:val="00A2107D"/>
    <w:rsid w:val="00A272DB"/>
    <w:rsid w:val="00A302B8"/>
    <w:rsid w:val="00A3141C"/>
    <w:rsid w:val="00A3252C"/>
    <w:rsid w:val="00A32C86"/>
    <w:rsid w:val="00A32FA0"/>
    <w:rsid w:val="00A37446"/>
    <w:rsid w:val="00A37BD0"/>
    <w:rsid w:val="00A44FA7"/>
    <w:rsid w:val="00A46360"/>
    <w:rsid w:val="00A5054A"/>
    <w:rsid w:val="00A50FB8"/>
    <w:rsid w:val="00A5375F"/>
    <w:rsid w:val="00A53EBA"/>
    <w:rsid w:val="00A5535B"/>
    <w:rsid w:val="00A601EE"/>
    <w:rsid w:val="00A6281C"/>
    <w:rsid w:val="00A647E9"/>
    <w:rsid w:val="00A65005"/>
    <w:rsid w:val="00A661B1"/>
    <w:rsid w:val="00A71711"/>
    <w:rsid w:val="00A719F3"/>
    <w:rsid w:val="00A778B5"/>
    <w:rsid w:val="00A805C5"/>
    <w:rsid w:val="00A8262A"/>
    <w:rsid w:val="00A82982"/>
    <w:rsid w:val="00A85975"/>
    <w:rsid w:val="00A94D2F"/>
    <w:rsid w:val="00A94EA3"/>
    <w:rsid w:val="00A9605F"/>
    <w:rsid w:val="00A966D8"/>
    <w:rsid w:val="00AA4012"/>
    <w:rsid w:val="00AA660D"/>
    <w:rsid w:val="00AB357F"/>
    <w:rsid w:val="00AB5673"/>
    <w:rsid w:val="00AB5C33"/>
    <w:rsid w:val="00AC02EB"/>
    <w:rsid w:val="00AC3B09"/>
    <w:rsid w:val="00AC3E44"/>
    <w:rsid w:val="00AC5AB2"/>
    <w:rsid w:val="00AD0133"/>
    <w:rsid w:val="00AD1339"/>
    <w:rsid w:val="00AD137E"/>
    <w:rsid w:val="00AD28DE"/>
    <w:rsid w:val="00AD571D"/>
    <w:rsid w:val="00AD597A"/>
    <w:rsid w:val="00AD69A4"/>
    <w:rsid w:val="00AD7855"/>
    <w:rsid w:val="00AE0932"/>
    <w:rsid w:val="00AE253B"/>
    <w:rsid w:val="00AE38DD"/>
    <w:rsid w:val="00AE4D03"/>
    <w:rsid w:val="00AE5768"/>
    <w:rsid w:val="00AE61B4"/>
    <w:rsid w:val="00AE7402"/>
    <w:rsid w:val="00AE7752"/>
    <w:rsid w:val="00AF0535"/>
    <w:rsid w:val="00AF373C"/>
    <w:rsid w:val="00AF3A87"/>
    <w:rsid w:val="00AF5E50"/>
    <w:rsid w:val="00AF7B9C"/>
    <w:rsid w:val="00B022AB"/>
    <w:rsid w:val="00B0388F"/>
    <w:rsid w:val="00B043E0"/>
    <w:rsid w:val="00B075BA"/>
    <w:rsid w:val="00B10589"/>
    <w:rsid w:val="00B1419E"/>
    <w:rsid w:val="00B2073D"/>
    <w:rsid w:val="00B21A1A"/>
    <w:rsid w:val="00B220E1"/>
    <w:rsid w:val="00B22E92"/>
    <w:rsid w:val="00B26B92"/>
    <w:rsid w:val="00B26CEE"/>
    <w:rsid w:val="00B3361B"/>
    <w:rsid w:val="00B337AD"/>
    <w:rsid w:val="00B3577F"/>
    <w:rsid w:val="00B36AD8"/>
    <w:rsid w:val="00B41E54"/>
    <w:rsid w:val="00B4726A"/>
    <w:rsid w:val="00B51A87"/>
    <w:rsid w:val="00B56A9D"/>
    <w:rsid w:val="00B5795F"/>
    <w:rsid w:val="00B624FB"/>
    <w:rsid w:val="00B6417E"/>
    <w:rsid w:val="00B708FE"/>
    <w:rsid w:val="00B70BEF"/>
    <w:rsid w:val="00B71F8F"/>
    <w:rsid w:val="00B748B6"/>
    <w:rsid w:val="00B80F5A"/>
    <w:rsid w:val="00B8372D"/>
    <w:rsid w:val="00B8796E"/>
    <w:rsid w:val="00B901B3"/>
    <w:rsid w:val="00BA2605"/>
    <w:rsid w:val="00BA31B8"/>
    <w:rsid w:val="00BA4625"/>
    <w:rsid w:val="00BA5928"/>
    <w:rsid w:val="00BA7781"/>
    <w:rsid w:val="00BA7D63"/>
    <w:rsid w:val="00BC0CB2"/>
    <w:rsid w:val="00BC2CB2"/>
    <w:rsid w:val="00BC3205"/>
    <w:rsid w:val="00BC4564"/>
    <w:rsid w:val="00BC49EE"/>
    <w:rsid w:val="00BD45D9"/>
    <w:rsid w:val="00BD6F46"/>
    <w:rsid w:val="00BE1296"/>
    <w:rsid w:val="00BE263A"/>
    <w:rsid w:val="00BE3BCF"/>
    <w:rsid w:val="00BE4659"/>
    <w:rsid w:val="00BE7C15"/>
    <w:rsid w:val="00BF2C45"/>
    <w:rsid w:val="00BF35B0"/>
    <w:rsid w:val="00BF47E4"/>
    <w:rsid w:val="00C00EC3"/>
    <w:rsid w:val="00C01F95"/>
    <w:rsid w:val="00C06ACB"/>
    <w:rsid w:val="00C07B01"/>
    <w:rsid w:val="00C11605"/>
    <w:rsid w:val="00C11BBC"/>
    <w:rsid w:val="00C11F71"/>
    <w:rsid w:val="00C1770D"/>
    <w:rsid w:val="00C21ECD"/>
    <w:rsid w:val="00C244EC"/>
    <w:rsid w:val="00C27725"/>
    <w:rsid w:val="00C27B1D"/>
    <w:rsid w:val="00C37065"/>
    <w:rsid w:val="00C43DFB"/>
    <w:rsid w:val="00C47056"/>
    <w:rsid w:val="00C622FF"/>
    <w:rsid w:val="00C65D86"/>
    <w:rsid w:val="00C705BD"/>
    <w:rsid w:val="00C71E6F"/>
    <w:rsid w:val="00C72C9B"/>
    <w:rsid w:val="00C7691B"/>
    <w:rsid w:val="00C808EE"/>
    <w:rsid w:val="00C822AF"/>
    <w:rsid w:val="00C83739"/>
    <w:rsid w:val="00C837B6"/>
    <w:rsid w:val="00C91296"/>
    <w:rsid w:val="00C91F2F"/>
    <w:rsid w:val="00C96BC9"/>
    <w:rsid w:val="00C97268"/>
    <w:rsid w:val="00CA6BD6"/>
    <w:rsid w:val="00CB2AA6"/>
    <w:rsid w:val="00CB2E39"/>
    <w:rsid w:val="00CB53F0"/>
    <w:rsid w:val="00CC1DB2"/>
    <w:rsid w:val="00CC523E"/>
    <w:rsid w:val="00CD2937"/>
    <w:rsid w:val="00CD5B9E"/>
    <w:rsid w:val="00CE065A"/>
    <w:rsid w:val="00CE23B5"/>
    <w:rsid w:val="00CE458E"/>
    <w:rsid w:val="00CE4C55"/>
    <w:rsid w:val="00CE4F73"/>
    <w:rsid w:val="00CF0F28"/>
    <w:rsid w:val="00CF4D1B"/>
    <w:rsid w:val="00CF6CD9"/>
    <w:rsid w:val="00D04F09"/>
    <w:rsid w:val="00D05CE1"/>
    <w:rsid w:val="00D07E77"/>
    <w:rsid w:val="00D11848"/>
    <w:rsid w:val="00D15823"/>
    <w:rsid w:val="00D1764D"/>
    <w:rsid w:val="00D20AC9"/>
    <w:rsid w:val="00D21575"/>
    <w:rsid w:val="00D21790"/>
    <w:rsid w:val="00D21FDD"/>
    <w:rsid w:val="00D24FA8"/>
    <w:rsid w:val="00D30086"/>
    <w:rsid w:val="00D30143"/>
    <w:rsid w:val="00D30261"/>
    <w:rsid w:val="00D3042B"/>
    <w:rsid w:val="00D37568"/>
    <w:rsid w:val="00D405EA"/>
    <w:rsid w:val="00D41EBF"/>
    <w:rsid w:val="00D447B1"/>
    <w:rsid w:val="00D46035"/>
    <w:rsid w:val="00D505B1"/>
    <w:rsid w:val="00D523F5"/>
    <w:rsid w:val="00D52CE7"/>
    <w:rsid w:val="00D558CD"/>
    <w:rsid w:val="00D55F95"/>
    <w:rsid w:val="00D60E3E"/>
    <w:rsid w:val="00D649FF"/>
    <w:rsid w:val="00D66DE5"/>
    <w:rsid w:val="00D6756F"/>
    <w:rsid w:val="00D67B45"/>
    <w:rsid w:val="00D7369D"/>
    <w:rsid w:val="00D74600"/>
    <w:rsid w:val="00D81A88"/>
    <w:rsid w:val="00D84E7A"/>
    <w:rsid w:val="00D87272"/>
    <w:rsid w:val="00D878E0"/>
    <w:rsid w:val="00D90A36"/>
    <w:rsid w:val="00D90BA8"/>
    <w:rsid w:val="00D923DF"/>
    <w:rsid w:val="00D95DAD"/>
    <w:rsid w:val="00D97627"/>
    <w:rsid w:val="00DA1A78"/>
    <w:rsid w:val="00DA384F"/>
    <w:rsid w:val="00DA5B8B"/>
    <w:rsid w:val="00DA6E83"/>
    <w:rsid w:val="00DB39E4"/>
    <w:rsid w:val="00DC01C3"/>
    <w:rsid w:val="00DC2E61"/>
    <w:rsid w:val="00DD3C31"/>
    <w:rsid w:val="00DD4ADA"/>
    <w:rsid w:val="00DD62DD"/>
    <w:rsid w:val="00DD7ED1"/>
    <w:rsid w:val="00DE083C"/>
    <w:rsid w:val="00DE087B"/>
    <w:rsid w:val="00DE0AA4"/>
    <w:rsid w:val="00DE42F7"/>
    <w:rsid w:val="00DE5BFF"/>
    <w:rsid w:val="00DE6A5F"/>
    <w:rsid w:val="00DE7AEC"/>
    <w:rsid w:val="00DE7EF8"/>
    <w:rsid w:val="00DF105C"/>
    <w:rsid w:val="00DF2DD8"/>
    <w:rsid w:val="00DF4928"/>
    <w:rsid w:val="00DF5C89"/>
    <w:rsid w:val="00DF6A28"/>
    <w:rsid w:val="00DF774B"/>
    <w:rsid w:val="00DF781F"/>
    <w:rsid w:val="00E04C24"/>
    <w:rsid w:val="00E0691A"/>
    <w:rsid w:val="00E07446"/>
    <w:rsid w:val="00E10A9D"/>
    <w:rsid w:val="00E124F6"/>
    <w:rsid w:val="00E12D81"/>
    <w:rsid w:val="00E12DAD"/>
    <w:rsid w:val="00E1359C"/>
    <w:rsid w:val="00E14555"/>
    <w:rsid w:val="00E16391"/>
    <w:rsid w:val="00E17FF5"/>
    <w:rsid w:val="00E23CC5"/>
    <w:rsid w:val="00E250C8"/>
    <w:rsid w:val="00E307B8"/>
    <w:rsid w:val="00E33C27"/>
    <w:rsid w:val="00E3403A"/>
    <w:rsid w:val="00E34902"/>
    <w:rsid w:val="00E34B4B"/>
    <w:rsid w:val="00E37AFB"/>
    <w:rsid w:val="00E42CDE"/>
    <w:rsid w:val="00E572D9"/>
    <w:rsid w:val="00E60E26"/>
    <w:rsid w:val="00E6166F"/>
    <w:rsid w:val="00E64969"/>
    <w:rsid w:val="00E711E8"/>
    <w:rsid w:val="00E756C4"/>
    <w:rsid w:val="00E75FDB"/>
    <w:rsid w:val="00E7769D"/>
    <w:rsid w:val="00E8043D"/>
    <w:rsid w:val="00E93FB5"/>
    <w:rsid w:val="00E97B83"/>
    <w:rsid w:val="00EA3410"/>
    <w:rsid w:val="00EB4FAB"/>
    <w:rsid w:val="00EB76BA"/>
    <w:rsid w:val="00EC10ED"/>
    <w:rsid w:val="00EC41AD"/>
    <w:rsid w:val="00EC7011"/>
    <w:rsid w:val="00ED1409"/>
    <w:rsid w:val="00EE0C67"/>
    <w:rsid w:val="00EE4896"/>
    <w:rsid w:val="00EE538F"/>
    <w:rsid w:val="00EE54D1"/>
    <w:rsid w:val="00EF70F1"/>
    <w:rsid w:val="00F00242"/>
    <w:rsid w:val="00F01231"/>
    <w:rsid w:val="00F032F9"/>
    <w:rsid w:val="00F069E2"/>
    <w:rsid w:val="00F11480"/>
    <w:rsid w:val="00F118F8"/>
    <w:rsid w:val="00F13F45"/>
    <w:rsid w:val="00F14FCA"/>
    <w:rsid w:val="00F1504D"/>
    <w:rsid w:val="00F1579E"/>
    <w:rsid w:val="00F161AF"/>
    <w:rsid w:val="00F17D86"/>
    <w:rsid w:val="00F22270"/>
    <w:rsid w:val="00F251DE"/>
    <w:rsid w:val="00F260A1"/>
    <w:rsid w:val="00F26894"/>
    <w:rsid w:val="00F310C4"/>
    <w:rsid w:val="00F31ACF"/>
    <w:rsid w:val="00F32A26"/>
    <w:rsid w:val="00F343F2"/>
    <w:rsid w:val="00F4138D"/>
    <w:rsid w:val="00F4253A"/>
    <w:rsid w:val="00F51F38"/>
    <w:rsid w:val="00F52CBC"/>
    <w:rsid w:val="00F54CD5"/>
    <w:rsid w:val="00F54D7A"/>
    <w:rsid w:val="00F61AC1"/>
    <w:rsid w:val="00F61AFF"/>
    <w:rsid w:val="00F67F7D"/>
    <w:rsid w:val="00F74D97"/>
    <w:rsid w:val="00F7528E"/>
    <w:rsid w:val="00F75F50"/>
    <w:rsid w:val="00F80B80"/>
    <w:rsid w:val="00F84126"/>
    <w:rsid w:val="00F905F3"/>
    <w:rsid w:val="00F91565"/>
    <w:rsid w:val="00F95043"/>
    <w:rsid w:val="00F955B3"/>
    <w:rsid w:val="00F95B54"/>
    <w:rsid w:val="00F972D1"/>
    <w:rsid w:val="00F97952"/>
    <w:rsid w:val="00FA0687"/>
    <w:rsid w:val="00FA0C11"/>
    <w:rsid w:val="00FA2AC5"/>
    <w:rsid w:val="00FA463D"/>
    <w:rsid w:val="00FA79D3"/>
    <w:rsid w:val="00FA79D5"/>
    <w:rsid w:val="00FC3EC8"/>
    <w:rsid w:val="00FD1B0C"/>
    <w:rsid w:val="00FD2144"/>
    <w:rsid w:val="00FD6997"/>
    <w:rsid w:val="00FE03D4"/>
    <w:rsid w:val="00FE151A"/>
    <w:rsid w:val="00FE30BD"/>
    <w:rsid w:val="00FE6017"/>
    <w:rsid w:val="00FF049B"/>
    <w:rsid w:val="00FF2AC6"/>
    <w:rsid w:val="00FF358E"/>
    <w:rsid w:val="00FF3F52"/>
    <w:rsid w:val="00FF6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0DB8"/>
  <w15:chartTrackingRefBased/>
  <w15:docId w15:val="{9865A7A1-1C1D-7044-8953-1CDD88E5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27F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27F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27F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427F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F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27F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F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F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7F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F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27F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27F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427F2A"/>
    <w:rPr>
      <w:rFonts w:cstheme="majorBidi"/>
      <w:color w:val="0F4761" w:themeColor="accent1" w:themeShade="BF"/>
      <w:sz w:val="28"/>
      <w:szCs w:val="28"/>
    </w:rPr>
  </w:style>
  <w:style w:type="character" w:customStyle="1" w:styleId="50">
    <w:name w:val="标题 5 字符"/>
    <w:basedOn w:val="a0"/>
    <w:link w:val="5"/>
    <w:uiPriority w:val="9"/>
    <w:semiHidden/>
    <w:rsid w:val="00427F2A"/>
    <w:rPr>
      <w:rFonts w:cstheme="majorBidi"/>
      <w:color w:val="0F4761" w:themeColor="accent1" w:themeShade="BF"/>
      <w:sz w:val="24"/>
    </w:rPr>
  </w:style>
  <w:style w:type="character" w:customStyle="1" w:styleId="60">
    <w:name w:val="标题 6 字符"/>
    <w:basedOn w:val="a0"/>
    <w:link w:val="6"/>
    <w:uiPriority w:val="9"/>
    <w:semiHidden/>
    <w:rsid w:val="00427F2A"/>
    <w:rPr>
      <w:rFonts w:cstheme="majorBidi"/>
      <w:b/>
      <w:bCs/>
      <w:color w:val="0F4761" w:themeColor="accent1" w:themeShade="BF"/>
    </w:rPr>
  </w:style>
  <w:style w:type="character" w:customStyle="1" w:styleId="70">
    <w:name w:val="标题 7 字符"/>
    <w:basedOn w:val="a0"/>
    <w:link w:val="7"/>
    <w:uiPriority w:val="9"/>
    <w:semiHidden/>
    <w:rsid w:val="00427F2A"/>
    <w:rPr>
      <w:rFonts w:cstheme="majorBidi"/>
      <w:b/>
      <w:bCs/>
      <w:color w:val="595959" w:themeColor="text1" w:themeTint="A6"/>
    </w:rPr>
  </w:style>
  <w:style w:type="character" w:customStyle="1" w:styleId="80">
    <w:name w:val="标题 8 字符"/>
    <w:basedOn w:val="a0"/>
    <w:link w:val="8"/>
    <w:uiPriority w:val="9"/>
    <w:semiHidden/>
    <w:rsid w:val="00427F2A"/>
    <w:rPr>
      <w:rFonts w:cstheme="majorBidi"/>
      <w:color w:val="595959" w:themeColor="text1" w:themeTint="A6"/>
    </w:rPr>
  </w:style>
  <w:style w:type="character" w:customStyle="1" w:styleId="90">
    <w:name w:val="标题 9 字符"/>
    <w:basedOn w:val="a0"/>
    <w:link w:val="9"/>
    <w:uiPriority w:val="9"/>
    <w:semiHidden/>
    <w:rsid w:val="00427F2A"/>
    <w:rPr>
      <w:rFonts w:eastAsiaTheme="majorEastAsia" w:cstheme="majorBidi"/>
      <w:color w:val="595959" w:themeColor="text1" w:themeTint="A6"/>
    </w:rPr>
  </w:style>
  <w:style w:type="paragraph" w:styleId="a3">
    <w:name w:val="Title"/>
    <w:basedOn w:val="a"/>
    <w:next w:val="a"/>
    <w:link w:val="a4"/>
    <w:uiPriority w:val="10"/>
    <w:qFormat/>
    <w:rsid w:val="00427F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F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F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F2A"/>
    <w:pPr>
      <w:spacing w:before="160"/>
      <w:jc w:val="center"/>
    </w:pPr>
    <w:rPr>
      <w:i/>
      <w:iCs/>
      <w:color w:val="404040" w:themeColor="text1" w:themeTint="BF"/>
    </w:rPr>
  </w:style>
  <w:style w:type="character" w:customStyle="1" w:styleId="a8">
    <w:name w:val="引用 字符"/>
    <w:basedOn w:val="a0"/>
    <w:link w:val="a7"/>
    <w:uiPriority w:val="29"/>
    <w:rsid w:val="00427F2A"/>
    <w:rPr>
      <w:i/>
      <w:iCs/>
      <w:color w:val="404040" w:themeColor="text1" w:themeTint="BF"/>
    </w:rPr>
  </w:style>
  <w:style w:type="paragraph" w:styleId="a9">
    <w:name w:val="List Paragraph"/>
    <w:basedOn w:val="a"/>
    <w:uiPriority w:val="34"/>
    <w:qFormat/>
    <w:rsid w:val="00427F2A"/>
    <w:pPr>
      <w:ind w:left="720"/>
      <w:contextualSpacing/>
    </w:pPr>
  </w:style>
  <w:style w:type="character" w:styleId="aa">
    <w:name w:val="Intense Emphasis"/>
    <w:basedOn w:val="a0"/>
    <w:uiPriority w:val="21"/>
    <w:qFormat/>
    <w:rsid w:val="00427F2A"/>
    <w:rPr>
      <w:i/>
      <w:iCs/>
      <w:color w:val="0F4761" w:themeColor="accent1" w:themeShade="BF"/>
    </w:rPr>
  </w:style>
  <w:style w:type="paragraph" w:styleId="ab">
    <w:name w:val="Intense Quote"/>
    <w:basedOn w:val="a"/>
    <w:next w:val="a"/>
    <w:link w:val="ac"/>
    <w:uiPriority w:val="30"/>
    <w:qFormat/>
    <w:rsid w:val="00427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F2A"/>
    <w:rPr>
      <w:i/>
      <w:iCs/>
      <w:color w:val="0F4761" w:themeColor="accent1" w:themeShade="BF"/>
    </w:rPr>
  </w:style>
  <w:style w:type="character" w:styleId="ad">
    <w:name w:val="Intense Reference"/>
    <w:basedOn w:val="a0"/>
    <w:uiPriority w:val="32"/>
    <w:qFormat/>
    <w:rsid w:val="00427F2A"/>
    <w:rPr>
      <w:b/>
      <w:bCs/>
      <w:smallCaps/>
      <w:color w:val="0F4761" w:themeColor="accent1" w:themeShade="BF"/>
      <w:spacing w:val="5"/>
    </w:rPr>
  </w:style>
  <w:style w:type="paragraph" w:styleId="ae">
    <w:name w:val="caption"/>
    <w:basedOn w:val="a"/>
    <w:next w:val="a"/>
    <w:uiPriority w:val="35"/>
    <w:semiHidden/>
    <w:unhideWhenUsed/>
    <w:qFormat/>
    <w:rsid w:val="00D558C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fontTable" Target="fontTable.xml"/><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emf"/><Relationship Id="rId82" Type="http://schemas.openxmlformats.org/officeDocument/2006/relationships/image" Target="media/image79.png"/><Relationship Id="rId19"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554978-BC18-CA4A-8BB0-BD9011DFE7A9}">
  <we:reference id="WA200010215" version="2.0.0.1" store="Omex" storeType="OMEX"/>
  <we:alternateReferences>
    <we:reference id="WA200010215" version="2.0.0.1" store="WA200010215" storeType="OMEX"/>
  </we:alternateReferences>
  <we:properties>
    <we:property name="bps.codex_control.document_id" value="&quot;3a64a7de-4f0e-4fc5-9661-aefa48e1a05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679</TotalTime>
  <Pages>62</Pages>
  <Words>5220</Words>
  <Characters>29754</Characters>
  <Application>Microsoft Office Word</Application>
  <DocSecurity>0</DocSecurity>
  <Lines>247</Lines>
  <Paragraphs>69</Paragraphs>
  <ScaleCrop>false</ScaleCrop>
  <Manager/>
  <Company/>
  <LinksUpToDate>false</LinksUpToDate>
  <CharactersWithSpaces>34905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979</cp:revision>
  <cp:lastPrinted>2026-10-19T06:48:00Z</cp:lastPrinted>
  <dcterms:created xsi:type="dcterms:W3CDTF">2026-10-14T01:37:00Z</dcterms:created>
  <dcterms:modified xsi:type="dcterms:W3CDTF">2026-10-19T07:15:00Z</dcterms:modified>
  <cp:category/>
</cp:coreProperties>
</file>