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949F9A6" w14:textId="205235C5" w:rsidR="00FE6017" w:rsidRDefault="00917118" w:rsidP="00917118">
      <w:pPr>
        <w:pStyle w:val="1"/>
      </w:pPr>
      <w:r>
        <w:rPr>
          <w:rFonts w:hint="eastAsia"/>
        </w:rPr>
        <w:t>Auto</w:t>
      </w:r>
      <w:r w:rsidR="007966C2">
        <w:rPr>
          <w:rFonts w:hint="eastAsia"/>
        </w:rPr>
        <w:t>d</w:t>
      </w:r>
      <w:r>
        <w:rPr>
          <w:rFonts w:hint="eastAsia"/>
        </w:rPr>
        <w:t>esk</w:t>
      </w:r>
    </w:p>
    <w:p w14:paraId="77F3D2EB" w14:textId="47D22E11" w:rsidR="007966C2" w:rsidRDefault="007966C2" w:rsidP="008D5EE9">
      <w:pPr>
        <w:pStyle w:val="2"/>
      </w:pPr>
      <w:r>
        <w:rPr>
          <w:rFonts w:hint="eastAsia"/>
        </w:rPr>
        <w:t>结论</w:t>
      </w:r>
    </w:p>
    <w:p w14:paraId="6364921C" w14:textId="4308E9ED" w:rsidR="0045448E" w:rsidRDefault="0045448E" w:rsidP="0045448E">
      <w:r>
        <w:t>Autodesk</w:t>
      </w:r>
      <w:r w:rsidR="007A26F4">
        <w:rPr>
          <w:rFonts w:hint="eastAsia"/>
        </w:rPr>
        <w:t>具</w:t>
      </w:r>
      <w:r>
        <w:t>备结构性护城河，但当前处于双重转型期（convergence平台化+直接渠道切换），增长质量尚待验证。核心观察点有三：一是FY2027年报的总净收入与合并净利润同比增速、净利率是否回升（裁决转型是否拖累盈利）；二是Flex收入的首次量化披露（代表从席位制向用量制转型的兑现）；三是SBC与激励的改善能否落地。</w:t>
      </w:r>
    </w:p>
    <w:p w14:paraId="32E8BD67" w14:textId="77B1F9ED" w:rsidR="0030286D" w:rsidRDefault="0030286D" w:rsidP="0045448E">
      <w:r w:rsidRPr="0030286D">
        <w:t>估值上，现价对应Non-GAAP PE约 22x。基于保守假设</w:t>
      </w:r>
      <w:r>
        <w:rPr>
          <w:rFonts w:hint="eastAsia"/>
        </w:rPr>
        <w:t>，估计</w:t>
      </w:r>
      <w:r w:rsidRPr="0030286D">
        <w:t>未来3-5年稳态EPS增速 10%。现价 22x 位于该区间上沿。</w:t>
      </w:r>
      <w:r>
        <w:rPr>
          <w:rFonts w:hint="eastAsia"/>
        </w:rPr>
        <w:t>但未充分计入转型失利风险。</w:t>
      </w:r>
    </w:p>
    <w:p w14:paraId="26BA41DB" w14:textId="0220F686" w:rsidR="007966C2" w:rsidRDefault="0045448E" w:rsidP="0045448E">
      <w:r>
        <w:t>结论：维持跟踪、暂不建仓。</w:t>
      </w:r>
      <w:r>
        <w:rPr>
          <w:rFonts w:ascii="Times New Roman" w:hAnsi="Times New Roman" w:cs="Times New Roman"/>
        </w:rPr>
        <w:t>​</w:t>
      </w:r>
      <w:r>
        <w:t xml:space="preserve"> 触发加仓的信号是：① FY2027年报净利率回升 + 总净收入/净利润增速不降档；② Flex收入首次量化披露。在此之前，现价的安全边际不足以覆盖双重转型的不确定性。</w:t>
      </w:r>
    </w:p>
    <w:p w14:paraId="224F3FC5" w14:textId="77777777" w:rsidR="0045448E" w:rsidRPr="00624CF1" w:rsidRDefault="0045448E" w:rsidP="007966C2"/>
    <w:p w14:paraId="05C1BCDD" w14:textId="5FEF786E" w:rsidR="00917118" w:rsidRDefault="00444F46" w:rsidP="00444F46">
      <w:pPr>
        <w:pStyle w:val="2"/>
      </w:pPr>
      <w:r>
        <w:rPr>
          <w:rFonts w:hint="eastAsia"/>
        </w:rPr>
        <w:t>基本信息</w:t>
      </w:r>
    </w:p>
    <w:p w14:paraId="48FBEBE5" w14:textId="0E21C805" w:rsidR="00490D35" w:rsidRDefault="00444F46">
      <w:pPr>
        <w:rPr>
          <w:rFonts w:ascii="Helvetica Neue" w:hAnsi="Helvetica Neue"/>
          <w:color w:val="333333"/>
          <w:shd w:val="clear" w:color="auto" w:fill="FFFFFF"/>
        </w:rPr>
      </w:pPr>
      <w:r>
        <w:rPr>
          <w:rFonts w:ascii="Helvetica Neue" w:hAnsi="Helvetica Neue"/>
          <w:color w:val="333333"/>
          <w:shd w:val="clear" w:color="auto" w:fill="FFFFFF"/>
        </w:rPr>
        <w:t>Autodesk, Inc.</w:t>
      </w:r>
      <w:r>
        <w:rPr>
          <w:rFonts w:ascii="Helvetica Neue" w:hAnsi="Helvetica Neue"/>
          <w:color w:val="333333"/>
          <w:shd w:val="clear" w:color="auto" w:fill="FFFFFF"/>
        </w:rPr>
        <w:t>（股票代码：</w:t>
      </w:r>
      <w:r>
        <w:rPr>
          <w:rFonts w:ascii="Helvetica Neue" w:hAnsi="Helvetica Neue"/>
          <w:color w:val="333333"/>
          <w:shd w:val="clear" w:color="auto" w:fill="FFFFFF"/>
        </w:rPr>
        <w:t>ADSK</w:t>
      </w:r>
      <w:r w:rsidR="00490D35">
        <w:rPr>
          <w:rFonts w:ascii="Helvetica Neue" w:hAnsi="Helvetica Neue" w:hint="eastAsia"/>
          <w:color w:val="333333"/>
          <w:shd w:val="clear" w:color="auto" w:fill="FFFFFF"/>
        </w:rPr>
        <w:t>，年结日</w:t>
      </w:r>
      <w:r w:rsidR="00490D35">
        <w:rPr>
          <w:rFonts w:ascii="Helvetica Neue" w:hAnsi="Helvetica Neue" w:hint="eastAsia"/>
          <w:color w:val="333333"/>
          <w:shd w:val="clear" w:color="auto" w:fill="FFFFFF"/>
        </w:rPr>
        <w:t>0131</w:t>
      </w:r>
      <w:r>
        <w:rPr>
          <w:rFonts w:ascii="Helvetica Neue" w:hAnsi="Helvetica Neue"/>
          <w:color w:val="333333"/>
          <w:shd w:val="clear" w:color="auto" w:fill="FFFFFF"/>
        </w:rPr>
        <w:t>）是一家以</w:t>
      </w:r>
      <w:r w:rsidR="00B0776C">
        <w:rPr>
          <w:rFonts w:ascii="Helvetica Neue" w:hAnsi="Helvetica Neue" w:hint="eastAsia"/>
          <w:color w:val="333333"/>
          <w:shd w:val="clear" w:color="auto" w:fill="FFFFFF"/>
        </w:rPr>
        <w:t>3D</w:t>
      </w:r>
      <w:r>
        <w:rPr>
          <w:rFonts w:ascii="Helvetica Neue" w:hAnsi="Helvetica Neue"/>
          <w:color w:val="333333"/>
          <w:shd w:val="clear" w:color="auto" w:fill="FFFFFF"/>
        </w:rPr>
        <w:t>设计、工程、制造和媒体娱乐场景为核心的设计与制造软件公司</w:t>
      </w:r>
      <w:r w:rsidR="00B0776C">
        <w:rPr>
          <w:rFonts w:ascii="Helvetica Neue" w:hAnsi="Helvetica Neue" w:hint="eastAsia"/>
          <w:color w:val="333333"/>
          <w:shd w:val="clear" w:color="auto" w:fill="FFFFFF"/>
        </w:rPr>
        <w:t>，</w:t>
      </w:r>
      <w:r w:rsidR="0042344D">
        <w:rPr>
          <w:rFonts w:ascii="Helvetica Neue" w:hAnsi="Helvetica Neue" w:hint="eastAsia"/>
          <w:color w:val="333333"/>
          <w:shd w:val="clear" w:color="auto" w:fill="FFFFFF"/>
        </w:rPr>
        <w:t>客</w:t>
      </w:r>
      <w:r w:rsidR="00B0776C">
        <w:rPr>
          <w:rFonts w:ascii="Helvetica Neue" w:hAnsi="Helvetica Neue"/>
          <w:color w:val="333333"/>
          <w:shd w:val="clear" w:color="auto" w:fill="FFFFFF"/>
        </w:rPr>
        <w:t>户利用其软件在设计早期进行可视化、模拟和分析，以优化设计、减少返工、改善制造与施工流程</w:t>
      </w:r>
      <w:r>
        <w:rPr>
          <w:rFonts w:ascii="Helvetica Neue" w:hAnsi="Helvetica Neue"/>
          <w:color w:val="333333"/>
          <w:shd w:val="clear" w:color="auto" w:fill="FFFFFF"/>
        </w:rPr>
        <w:t>。</w:t>
      </w:r>
    </w:p>
    <w:p w14:paraId="18B7D3C6" w14:textId="6C2B0216" w:rsidR="00917118" w:rsidRPr="00B0776C" w:rsidRDefault="00444F46">
      <w:pPr>
        <w:rPr>
          <w:rFonts w:ascii="Helvetica Neue" w:hAnsi="Helvetica Neue"/>
          <w:color w:val="333333"/>
          <w:shd w:val="clear" w:color="auto" w:fill="FFFFFF"/>
        </w:rPr>
      </w:pPr>
      <w:r>
        <w:rPr>
          <w:rFonts w:ascii="Helvetica Neue" w:hAnsi="Helvetica Neue"/>
          <w:color w:val="333333"/>
          <w:shd w:val="clear" w:color="auto" w:fill="FFFFFF"/>
        </w:rPr>
        <w:t>公司将产品交付模式从永久授权转向订阅、行业套装、企业业务协议（</w:t>
      </w:r>
      <w:r>
        <w:rPr>
          <w:rFonts w:ascii="Helvetica Neue" w:hAnsi="Helvetica Neue"/>
          <w:color w:val="333333"/>
          <w:shd w:val="clear" w:color="auto" w:fill="FFFFFF"/>
        </w:rPr>
        <w:t>EBA</w:t>
      </w:r>
      <w:r>
        <w:rPr>
          <w:rFonts w:ascii="Helvetica Neue" w:hAnsi="Helvetica Neue"/>
          <w:color w:val="333333"/>
          <w:shd w:val="clear" w:color="auto" w:fill="FFFFFF"/>
        </w:rPr>
        <w:t>）和云服务，</w:t>
      </w:r>
      <w:r>
        <w:rPr>
          <w:rFonts w:ascii="Helvetica Neue" w:hAnsi="Helvetica Neue"/>
          <w:color w:val="333333"/>
          <w:shd w:val="clear" w:color="auto" w:fill="FFFFFF"/>
        </w:rPr>
        <w:t xml:space="preserve">FY2026 </w:t>
      </w:r>
      <w:r>
        <w:rPr>
          <w:rFonts w:ascii="Helvetica Neue" w:hAnsi="Helvetica Neue"/>
          <w:color w:val="333333"/>
          <w:shd w:val="clear" w:color="auto" w:fill="FFFFFF"/>
        </w:rPr>
        <w:t>已形成以经常性收入为主的结构：总净收入</w:t>
      </w:r>
      <w:r>
        <w:rPr>
          <w:rFonts w:ascii="Helvetica Neue" w:hAnsi="Helvetica Neue"/>
          <w:color w:val="333333"/>
          <w:shd w:val="clear" w:color="auto" w:fill="FFFFFF"/>
        </w:rPr>
        <w:t xml:space="preserve"> 7</w:t>
      </w:r>
      <w:r w:rsidR="000D58D8">
        <w:rPr>
          <w:rFonts w:ascii="Helvetica Neue" w:hAnsi="Helvetica Neue" w:hint="eastAsia"/>
          <w:color w:val="333333"/>
          <w:shd w:val="clear" w:color="auto" w:fill="FFFFFF"/>
        </w:rPr>
        <w:t>2</w:t>
      </w:r>
      <w:r w:rsidR="000D58D8">
        <w:rPr>
          <w:rFonts w:ascii="Helvetica Neue" w:hAnsi="Helvetica Neue" w:hint="eastAsia"/>
          <w:color w:val="333333"/>
          <w:shd w:val="clear" w:color="auto" w:fill="FFFFFF"/>
        </w:rPr>
        <w:t>亿</w:t>
      </w:r>
      <w:r>
        <w:rPr>
          <w:rFonts w:ascii="Helvetica Neue" w:hAnsi="Helvetica Neue"/>
          <w:color w:val="333333"/>
          <w:shd w:val="clear" w:color="auto" w:fill="FFFFFF"/>
        </w:rPr>
        <w:t>美元，同比增长</w:t>
      </w:r>
      <w:r>
        <w:rPr>
          <w:rFonts w:ascii="Helvetica Neue" w:hAnsi="Helvetica Neue"/>
          <w:color w:val="333333"/>
          <w:shd w:val="clear" w:color="auto" w:fill="FFFFFF"/>
        </w:rPr>
        <w:t xml:space="preserve"> 18%</w:t>
      </w:r>
      <w:r>
        <w:rPr>
          <w:rFonts w:ascii="Helvetica Neue" w:hAnsi="Helvetica Neue"/>
          <w:color w:val="333333"/>
          <w:shd w:val="clear" w:color="auto" w:fill="FFFFFF"/>
        </w:rPr>
        <w:t>；订阅及维护收入</w:t>
      </w:r>
      <w:r>
        <w:rPr>
          <w:rFonts w:ascii="Helvetica Neue" w:hAnsi="Helvetica Neue"/>
          <w:color w:val="333333"/>
          <w:shd w:val="clear" w:color="auto" w:fill="FFFFFF"/>
        </w:rPr>
        <w:t xml:space="preserve"> </w:t>
      </w:r>
      <w:r w:rsidR="000D58D8">
        <w:rPr>
          <w:rFonts w:ascii="Helvetica Neue" w:hAnsi="Helvetica Neue" w:hint="eastAsia"/>
          <w:color w:val="333333"/>
          <w:shd w:val="clear" w:color="auto" w:fill="FFFFFF"/>
        </w:rPr>
        <w:t>67</w:t>
      </w:r>
      <w:r w:rsidR="0041067E">
        <w:rPr>
          <w:rFonts w:ascii="Helvetica Neue" w:hAnsi="Helvetica Neue"/>
          <w:color w:val="333333"/>
          <w:shd w:val="clear" w:color="auto" w:fill="FFFFFF"/>
        </w:rPr>
        <w:t>.</w:t>
      </w:r>
      <w:r w:rsidR="0041067E">
        <w:rPr>
          <w:rFonts w:ascii="Helvetica Neue" w:hAnsi="Helvetica Neue" w:hint="eastAsia"/>
          <w:color w:val="333333"/>
          <w:shd w:val="clear" w:color="auto" w:fill="FFFFFF"/>
        </w:rPr>
        <w:t>4</w:t>
      </w:r>
      <w:r w:rsidR="000D58D8">
        <w:rPr>
          <w:rFonts w:ascii="Helvetica Neue" w:hAnsi="Helvetica Neue" w:hint="eastAsia"/>
          <w:color w:val="333333"/>
          <w:shd w:val="clear" w:color="auto" w:fill="FFFFFF"/>
        </w:rPr>
        <w:t>亿</w:t>
      </w:r>
      <w:r>
        <w:rPr>
          <w:rFonts w:ascii="Helvetica Neue" w:hAnsi="Helvetica Neue"/>
          <w:color w:val="333333"/>
          <w:shd w:val="clear" w:color="auto" w:fill="FFFFFF"/>
        </w:rPr>
        <w:t>美元；总收入口径毛利率约</w:t>
      </w:r>
      <w:r>
        <w:rPr>
          <w:rFonts w:ascii="Helvetica Neue" w:hAnsi="Helvetica Neue"/>
          <w:color w:val="333333"/>
          <w:shd w:val="clear" w:color="auto" w:fill="FFFFFF"/>
        </w:rPr>
        <w:t xml:space="preserve"> 91.0%</w:t>
      </w:r>
      <w:r>
        <w:rPr>
          <w:rFonts w:ascii="Helvetica Neue" w:hAnsi="Helvetica Neue"/>
          <w:color w:val="333333"/>
          <w:shd w:val="clear" w:color="auto" w:fill="FFFFFF"/>
        </w:rPr>
        <w:t>；剩余履约义务（</w:t>
      </w:r>
      <w:r>
        <w:rPr>
          <w:rFonts w:ascii="Helvetica Neue" w:hAnsi="Helvetica Neue"/>
          <w:color w:val="333333"/>
          <w:shd w:val="clear" w:color="auto" w:fill="FFFFFF"/>
        </w:rPr>
        <w:t>RPO</w:t>
      </w:r>
      <w:r>
        <w:rPr>
          <w:rFonts w:ascii="Helvetica Neue" w:hAnsi="Helvetica Neue"/>
          <w:color w:val="333333"/>
          <w:shd w:val="clear" w:color="auto" w:fill="FFFFFF"/>
        </w:rPr>
        <w:t>）</w:t>
      </w:r>
      <w:r w:rsidR="009049F8">
        <w:rPr>
          <w:rFonts w:ascii="Helvetica Neue" w:hAnsi="Helvetica Neue" w:hint="eastAsia"/>
          <w:color w:val="333333"/>
          <w:shd w:val="clear" w:color="auto" w:fill="FFFFFF"/>
        </w:rPr>
        <w:t>83</w:t>
      </w:r>
      <w:r w:rsidR="009049F8">
        <w:rPr>
          <w:rFonts w:ascii="Helvetica Neue" w:hAnsi="Helvetica Neue" w:hint="eastAsia"/>
          <w:color w:val="333333"/>
          <w:shd w:val="clear" w:color="auto" w:fill="FFFFFF"/>
        </w:rPr>
        <w:t>亿</w:t>
      </w:r>
      <w:r>
        <w:rPr>
          <w:rFonts w:ascii="Helvetica Neue" w:hAnsi="Helvetica Neue"/>
          <w:color w:val="333333"/>
          <w:shd w:val="clear" w:color="auto" w:fill="FFFFFF"/>
        </w:rPr>
        <w:t>美元。</w:t>
      </w:r>
    </w:p>
    <w:p w14:paraId="60E04399" w14:textId="77777777" w:rsidR="0075574D" w:rsidRPr="00A70020" w:rsidRDefault="0075574D" w:rsidP="0075574D"/>
    <w:p w14:paraId="168E301B" w14:textId="77777777" w:rsidR="0075574D" w:rsidRDefault="0075574D" w:rsidP="0075574D">
      <w:r>
        <w:rPr>
          <w:rFonts w:ascii="Helvetica Neue" w:hAnsi="Helvetica Neue"/>
          <w:color w:val="333333"/>
          <w:shd w:val="clear" w:color="auto" w:fill="FFFFFF"/>
        </w:rPr>
        <w:t>公司早期以</w:t>
      </w:r>
      <w:r>
        <w:rPr>
          <w:rFonts w:ascii="Helvetica Neue" w:hAnsi="Helvetica Neue"/>
          <w:color w:val="333333"/>
          <w:shd w:val="clear" w:color="auto" w:fill="FFFFFF"/>
        </w:rPr>
        <w:t xml:space="preserve"> AutoCAD </w:t>
      </w:r>
      <w:r>
        <w:rPr>
          <w:rFonts w:ascii="Helvetica Neue" w:hAnsi="Helvetica Neue"/>
          <w:color w:val="333333"/>
          <w:shd w:val="clear" w:color="auto" w:fill="FFFFFF"/>
        </w:rPr>
        <w:t>建立个人电脑</w:t>
      </w:r>
      <w:r>
        <w:rPr>
          <w:rFonts w:ascii="Helvetica Neue" w:hAnsi="Helvetica Neue"/>
          <w:color w:val="333333"/>
          <w:shd w:val="clear" w:color="auto" w:fill="FFFFFF"/>
        </w:rPr>
        <w:t xml:space="preserve"> CAD </w:t>
      </w:r>
      <w:r>
        <w:rPr>
          <w:rFonts w:ascii="Helvetica Neue" w:hAnsi="Helvetica Neue"/>
          <w:color w:val="333333"/>
          <w:shd w:val="clear" w:color="auto" w:fill="FFFFFF"/>
        </w:rPr>
        <w:t>软件基础，并围绕设计工具逐步扩展产品组合。产品从桌面</w:t>
      </w:r>
      <w:r>
        <w:rPr>
          <w:rFonts w:ascii="Helvetica Neue" w:hAnsi="Helvetica Neue"/>
          <w:color w:val="333333"/>
          <w:shd w:val="clear" w:color="auto" w:fill="FFFFFF"/>
        </w:rPr>
        <w:t xml:space="preserve"> CAD </w:t>
      </w:r>
      <w:r>
        <w:rPr>
          <w:rFonts w:ascii="Helvetica Neue" w:hAnsi="Helvetica Neue"/>
          <w:color w:val="333333"/>
          <w:shd w:val="clear" w:color="auto" w:fill="FFFFFF"/>
        </w:rPr>
        <w:t>逐步扩展至建筑信息建模、施工管理、数字样机、模拟、衍生式设计、流程生产追踪和数字孪生等领域。通过内部研发和收购持续补充能力，例如收购</w:t>
      </w:r>
      <w:r>
        <w:rPr>
          <w:rFonts w:ascii="Helvetica Neue" w:hAnsi="Helvetica Neue"/>
          <w:color w:val="333333"/>
          <w:shd w:val="clear" w:color="auto" w:fill="FFFFFF"/>
        </w:rPr>
        <w:t xml:space="preserve"> Innovyze </w:t>
      </w:r>
      <w:r>
        <w:rPr>
          <w:rFonts w:ascii="Helvetica Neue" w:hAnsi="Helvetica Neue"/>
          <w:color w:val="333333"/>
          <w:shd w:val="clear" w:color="auto" w:fill="FFFFFF"/>
        </w:rPr>
        <w:t>补充水基础设施软件，收购</w:t>
      </w:r>
      <w:r>
        <w:rPr>
          <w:rFonts w:ascii="Helvetica Neue" w:hAnsi="Helvetica Neue"/>
          <w:color w:val="333333"/>
          <w:shd w:val="clear" w:color="auto" w:fill="FFFFFF"/>
        </w:rPr>
        <w:t xml:space="preserve"> Payapps </w:t>
      </w:r>
      <w:r>
        <w:rPr>
          <w:rFonts w:ascii="Helvetica Neue" w:hAnsi="Helvetica Neue"/>
          <w:color w:val="333333"/>
          <w:shd w:val="clear" w:color="auto" w:fill="FFFFFF"/>
        </w:rPr>
        <w:t>补充施工支付管理，收购</w:t>
      </w:r>
      <w:r>
        <w:rPr>
          <w:rFonts w:ascii="Helvetica Neue" w:hAnsi="Helvetica Neue"/>
          <w:color w:val="333333"/>
          <w:shd w:val="clear" w:color="auto" w:fill="FFFFFF"/>
        </w:rPr>
        <w:t xml:space="preserve"> PIX </w:t>
      </w:r>
      <w:r>
        <w:rPr>
          <w:rFonts w:ascii="Helvetica Neue" w:hAnsi="Helvetica Neue"/>
          <w:color w:val="333333"/>
          <w:shd w:val="clear" w:color="auto" w:fill="FFFFFF"/>
        </w:rPr>
        <w:t>加强媒体工作流能力。</w:t>
      </w:r>
    </w:p>
    <w:p w14:paraId="50E18801" w14:textId="77777777" w:rsidR="00917118" w:rsidRPr="0075574D" w:rsidRDefault="00917118"/>
    <w:p w14:paraId="563B30B8" w14:textId="10980AAA" w:rsidR="00917118" w:rsidRDefault="00B009D6">
      <w:r>
        <w:rPr>
          <w:rFonts w:ascii="Helvetica Neue" w:hAnsi="Helvetica Neue"/>
          <w:color w:val="333333"/>
          <w:shd w:val="clear" w:color="auto" w:fill="FFFFFF"/>
        </w:rPr>
        <w:t>按产品家族，公司把产品划分为</w:t>
      </w:r>
      <w:r>
        <w:rPr>
          <w:rFonts w:ascii="Helvetica Neue" w:hAnsi="Helvetica Neue"/>
          <w:color w:val="333333"/>
          <w:shd w:val="clear" w:color="auto" w:fill="FFFFFF"/>
        </w:rPr>
        <w:t xml:space="preserve"> AECO</w:t>
      </w:r>
      <w:r>
        <w:rPr>
          <w:rFonts w:ascii="Helvetica Neue" w:hAnsi="Helvetica Neue"/>
          <w:color w:val="333333"/>
          <w:shd w:val="clear" w:color="auto" w:fill="FFFFFF"/>
        </w:rPr>
        <w:t>、</w:t>
      </w:r>
      <w:r>
        <w:rPr>
          <w:rFonts w:ascii="Helvetica Neue" w:hAnsi="Helvetica Neue"/>
          <w:color w:val="333333"/>
          <w:shd w:val="clear" w:color="auto" w:fill="FFFFFF"/>
        </w:rPr>
        <w:t xml:space="preserve">AutoCAD </w:t>
      </w:r>
      <w:r>
        <w:rPr>
          <w:rFonts w:ascii="Helvetica Neue" w:hAnsi="Helvetica Neue"/>
          <w:color w:val="333333"/>
          <w:shd w:val="clear" w:color="auto" w:fill="FFFFFF"/>
        </w:rPr>
        <w:t>与</w:t>
      </w:r>
      <w:r>
        <w:rPr>
          <w:rFonts w:ascii="Helvetica Neue" w:hAnsi="Helvetica Neue"/>
          <w:color w:val="333333"/>
          <w:shd w:val="clear" w:color="auto" w:fill="FFFFFF"/>
        </w:rPr>
        <w:t xml:space="preserve"> AutoCAD LT</w:t>
      </w:r>
      <w:r>
        <w:rPr>
          <w:rFonts w:ascii="Helvetica Neue" w:hAnsi="Helvetica Neue"/>
          <w:color w:val="333333"/>
          <w:shd w:val="clear" w:color="auto" w:fill="FFFFFF"/>
        </w:rPr>
        <w:t>、</w:t>
      </w:r>
      <w:r>
        <w:rPr>
          <w:rFonts w:ascii="Helvetica Neue" w:hAnsi="Helvetica Neue"/>
          <w:color w:val="333333"/>
          <w:shd w:val="clear" w:color="auto" w:fill="FFFFFF"/>
        </w:rPr>
        <w:t>MFG</w:t>
      </w:r>
      <w:r>
        <w:rPr>
          <w:rFonts w:ascii="Helvetica Neue" w:hAnsi="Helvetica Neue"/>
          <w:color w:val="333333"/>
          <w:shd w:val="clear" w:color="auto" w:fill="FFFFFF"/>
        </w:rPr>
        <w:t>、</w:t>
      </w:r>
      <w:r>
        <w:rPr>
          <w:rFonts w:ascii="Helvetica Neue" w:hAnsi="Helvetica Neue"/>
          <w:color w:val="333333"/>
          <w:shd w:val="clear" w:color="auto" w:fill="FFFFFF"/>
        </w:rPr>
        <w:t xml:space="preserve">M&amp;E </w:t>
      </w:r>
      <w:r>
        <w:rPr>
          <w:rFonts w:ascii="Helvetica Neue" w:hAnsi="Helvetica Neue"/>
          <w:color w:val="333333"/>
          <w:shd w:val="clear" w:color="auto" w:fill="FFFFFF"/>
        </w:rPr>
        <w:t>和其他。</w:t>
      </w:r>
    </w:p>
    <w:p w14:paraId="3045718F" w14:textId="5C1BF8D4" w:rsidR="00917118" w:rsidRDefault="00F45E21" w:rsidP="00A9512D">
      <w:pPr>
        <w:ind w:firstLine="420"/>
        <w:rPr>
          <w:rFonts w:ascii="Helvetica Neue" w:hAnsi="Helvetica Neue"/>
          <w:color w:val="333333"/>
          <w:shd w:val="clear" w:color="auto" w:fill="FFFFFF"/>
        </w:rPr>
      </w:pPr>
      <w:r>
        <w:rPr>
          <w:rFonts w:ascii="Helvetica Neue" w:hAnsi="Helvetica Neue"/>
          <w:color w:val="333333"/>
          <w:shd w:val="clear" w:color="auto" w:fill="FFFFFF"/>
        </w:rPr>
        <w:t>AECO</w:t>
      </w:r>
      <w:r>
        <w:rPr>
          <w:rFonts w:ascii="Helvetica Neue" w:hAnsi="Helvetica Neue"/>
          <w:color w:val="333333"/>
          <w:shd w:val="clear" w:color="auto" w:fill="FFFFFF"/>
        </w:rPr>
        <w:t>面向建筑、基础设施、施工与运营项目</w:t>
      </w:r>
    </w:p>
    <w:p w14:paraId="4E9F5827" w14:textId="00F5E4DD" w:rsidR="00A9512D" w:rsidRPr="00A9512D" w:rsidRDefault="00A9512D" w:rsidP="00A9512D">
      <w:pPr>
        <w:ind w:firstLine="420"/>
      </w:pPr>
      <w:r>
        <w:rPr>
          <w:rFonts w:ascii="Helvetica Neue" w:hAnsi="Helvetica Neue"/>
          <w:color w:val="333333"/>
          <w:shd w:val="clear" w:color="auto" w:fill="FFFFFF"/>
        </w:rPr>
        <w:t xml:space="preserve">AutoCAD </w:t>
      </w:r>
      <w:r>
        <w:rPr>
          <w:rFonts w:ascii="Helvetica Neue" w:hAnsi="Helvetica Neue"/>
          <w:color w:val="333333"/>
          <w:shd w:val="clear" w:color="auto" w:fill="FFFFFF"/>
        </w:rPr>
        <w:t>与</w:t>
      </w:r>
      <w:r>
        <w:rPr>
          <w:rFonts w:ascii="Helvetica Neue" w:hAnsi="Helvetica Neue"/>
          <w:color w:val="333333"/>
          <w:shd w:val="clear" w:color="auto" w:fill="FFFFFF"/>
        </w:rPr>
        <w:t xml:space="preserve"> AutoCAD LT </w:t>
      </w:r>
      <w:r>
        <w:rPr>
          <w:rFonts w:ascii="Helvetica Neue" w:hAnsi="Helvetica Neue"/>
          <w:color w:val="333333"/>
          <w:shd w:val="clear" w:color="auto" w:fill="FFFFFF"/>
        </w:rPr>
        <w:t>提供通用</w:t>
      </w:r>
      <w:r>
        <w:rPr>
          <w:rFonts w:ascii="Helvetica Neue" w:hAnsi="Helvetica Neue"/>
          <w:color w:val="333333"/>
          <w:shd w:val="clear" w:color="auto" w:fill="FFFFFF"/>
        </w:rPr>
        <w:t xml:space="preserve"> CAD </w:t>
      </w:r>
      <w:r>
        <w:rPr>
          <w:rFonts w:ascii="Helvetica Neue" w:hAnsi="Helvetica Neue"/>
          <w:color w:val="333333"/>
          <w:shd w:val="clear" w:color="auto" w:fill="FFFFFF"/>
        </w:rPr>
        <w:t>制图、详图和可视化</w:t>
      </w:r>
    </w:p>
    <w:p w14:paraId="02DD0BF2" w14:textId="3A3B29A5" w:rsidR="00917118" w:rsidRDefault="001F7D68" w:rsidP="001F7D68">
      <w:pPr>
        <w:ind w:firstLine="420"/>
      </w:pPr>
      <w:r>
        <w:rPr>
          <w:rFonts w:ascii="Helvetica Neue" w:hAnsi="Helvetica Neue"/>
          <w:color w:val="333333"/>
          <w:shd w:val="clear" w:color="auto" w:fill="FFFFFF"/>
        </w:rPr>
        <w:t xml:space="preserve">MFG </w:t>
      </w:r>
      <w:r>
        <w:rPr>
          <w:rFonts w:ascii="Helvetica Neue" w:hAnsi="Helvetica Neue"/>
          <w:color w:val="333333"/>
          <w:shd w:val="clear" w:color="auto" w:fill="FFFFFF"/>
        </w:rPr>
        <w:t>面向制造商的产品设计、工程、制造和生产流程</w:t>
      </w:r>
    </w:p>
    <w:p w14:paraId="63E646E6" w14:textId="170407AE" w:rsidR="00917118" w:rsidRDefault="00E2457C" w:rsidP="00E2457C">
      <w:pPr>
        <w:ind w:firstLine="420"/>
      </w:pPr>
      <w:r>
        <w:rPr>
          <w:rFonts w:ascii="Helvetica Neue" w:hAnsi="Helvetica Neue"/>
          <w:color w:val="333333"/>
          <w:shd w:val="clear" w:color="auto" w:fill="FFFFFF"/>
        </w:rPr>
        <w:t xml:space="preserve">M&amp;E </w:t>
      </w:r>
      <w:r>
        <w:rPr>
          <w:rFonts w:ascii="Helvetica Neue" w:hAnsi="Helvetica Neue"/>
          <w:color w:val="333333"/>
          <w:shd w:val="clear" w:color="auto" w:fill="FFFFFF"/>
        </w:rPr>
        <w:t>面向数字雕刻、建模、动画、特效、渲染和合成等媒体工作流</w:t>
      </w:r>
    </w:p>
    <w:p w14:paraId="079563E2" w14:textId="5558D20B" w:rsidR="00F04FBA" w:rsidRDefault="00AB7501">
      <w:r w:rsidRPr="00AB7501">
        <w:rPr>
          <w:noProof/>
        </w:rPr>
        <w:lastRenderedPageBreak/>
        <w:drawing>
          <wp:inline distT="0" distB="0" distL="0" distR="0" wp14:anchorId="41BDC65B" wp14:editId="2607BB7E">
            <wp:extent cx="4835337" cy="2675467"/>
            <wp:effectExtent l="0" t="0" r="3810" b="4445"/>
            <wp:docPr id="3205698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569815" name=""/>
                    <pic:cNvPicPr/>
                  </pic:nvPicPr>
                  <pic:blipFill>
                    <a:blip r:embed="rId6"/>
                    <a:stretch>
                      <a:fillRect/>
                    </a:stretch>
                  </pic:blipFill>
                  <pic:spPr>
                    <a:xfrm>
                      <a:off x="0" y="0"/>
                      <a:ext cx="4869845" cy="2694561"/>
                    </a:xfrm>
                    <a:prstGeom prst="rect">
                      <a:avLst/>
                    </a:prstGeom>
                  </pic:spPr>
                </pic:pic>
              </a:graphicData>
            </a:graphic>
          </wp:inline>
        </w:drawing>
      </w:r>
      <w:r w:rsidR="006C1E0F" w:rsidRPr="006C1E0F">
        <w:rPr>
          <w:noProof/>
        </w:rPr>
        <w:drawing>
          <wp:inline distT="0" distB="0" distL="0" distR="0" wp14:anchorId="4B7EC929" wp14:editId="63A3F021">
            <wp:extent cx="4809067" cy="1253960"/>
            <wp:effectExtent l="0" t="0" r="4445" b="3810"/>
            <wp:docPr id="10727104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710442" name=""/>
                    <pic:cNvPicPr/>
                  </pic:nvPicPr>
                  <pic:blipFill>
                    <a:blip r:embed="rId7"/>
                    <a:stretch>
                      <a:fillRect/>
                    </a:stretch>
                  </pic:blipFill>
                  <pic:spPr>
                    <a:xfrm>
                      <a:off x="0" y="0"/>
                      <a:ext cx="4869493" cy="1269716"/>
                    </a:xfrm>
                    <a:prstGeom prst="rect">
                      <a:avLst/>
                    </a:prstGeom>
                  </pic:spPr>
                </pic:pic>
              </a:graphicData>
            </a:graphic>
          </wp:inline>
        </w:drawing>
      </w:r>
    </w:p>
    <w:p w14:paraId="6C671AC0" w14:textId="16BF810B" w:rsidR="006C1E0F" w:rsidRDefault="001D5DBE">
      <w:r w:rsidRPr="001D5DBE">
        <w:rPr>
          <w:noProof/>
        </w:rPr>
        <w:drawing>
          <wp:inline distT="0" distB="0" distL="0" distR="0" wp14:anchorId="4BC6483B" wp14:editId="586B4084">
            <wp:extent cx="4851400" cy="1686818"/>
            <wp:effectExtent l="0" t="0" r="0" b="2540"/>
            <wp:docPr id="5893868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386813" name=""/>
                    <pic:cNvPicPr/>
                  </pic:nvPicPr>
                  <pic:blipFill>
                    <a:blip r:embed="rId8"/>
                    <a:stretch>
                      <a:fillRect/>
                    </a:stretch>
                  </pic:blipFill>
                  <pic:spPr>
                    <a:xfrm>
                      <a:off x="0" y="0"/>
                      <a:ext cx="4886568" cy="1699046"/>
                    </a:xfrm>
                    <a:prstGeom prst="rect">
                      <a:avLst/>
                    </a:prstGeom>
                  </pic:spPr>
                </pic:pic>
              </a:graphicData>
            </a:graphic>
          </wp:inline>
        </w:drawing>
      </w:r>
    </w:p>
    <w:p w14:paraId="39DB72A4" w14:textId="0DE58817" w:rsidR="006C1E0F" w:rsidRDefault="00A64C97">
      <w:r w:rsidRPr="00A64C97">
        <w:rPr>
          <w:noProof/>
        </w:rPr>
        <w:drawing>
          <wp:inline distT="0" distB="0" distL="0" distR="0" wp14:anchorId="39A292DA" wp14:editId="389DA307">
            <wp:extent cx="4808855" cy="1754731"/>
            <wp:effectExtent l="0" t="0" r="4445" b="0"/>
            <wp:docPr id="977760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76015" name=""/>
                    <pic:cNvPicPr/>
                  </pic:nvPicPr>
                  <pic:blipFill>
                    <a:blip r:embed="rId9"/>
                    <a:stretch>
                      <a:fillRect/>
                    </a:stretch>
                  </pic:blipFill>
                  <pic:spPr>
                    <a:xfrm>
                      <a:off x="0" y="0"/>
                      <a:ext cx="4842184" cy="1766893"/>
                    </a:xfrm>
                    <a:prstGeom prst="rect">
                      <a:avLst/>
                    </a:prstGeom>
                  </pic:spPr>
                </pic:pic>
              </a:graphicData>
            </a:graphic>
          </wp:inline>
        </w:drawing>
      </w:r>
    </w:p>
    <w:p w14:paraId="49DECA22" w14:textId="326ED642" w:rsidR="006C1E0F" w:rsidRDefault="00842377">
      <w:r>
        <w:rPr>
          <w:rFonts w:hint="eastAsia"/>
        </w:rPr>
        <w:t>——仅列出部分产品，且</w:t>
      </w:r>
      <w:r w:rsidRPr="00842377">
        <w:t>有多个"Collection（集合包）"是跨家族复用的</w:t>
      </w:r>
      <w:r>
        <w:rPr>
          <w:rFonts w:hint="eastAsia"/>
        </w:rPr>
        <w:t>（如AutoCAD）</w:t>
      </w:r>
      <w:r w:rsidRPr="00842377">
        <w:t>。</w:t>
      </w:r>
    </w:p>
    <w:p w14:paraId="4D84F719" w14:textId="77777777" w:rsidR="006C1E0F" w:rsidRDefault="006C1E0F"/>
    <w:p w14:paraId="7F2670BF" w14:textId="12DCF222" w:rsidR="00F04FBA" w:rsidRDefault="00341B05" w:rsidP="00341B05">
      <w:pPr>
        <w:pStyle w:val="2"/>
      </w:pPr>
      <w:r>
        <w:rPr>
          <w:rFonts w:hint="eastAsia"/>
        </w:rPr>
        <w:t>商业</w:t>
      </w:r>
      <w:r w:rsidR="00F04FBA">
        <w:rPr>
          <w:rFonts w:hint="eastAsia"/>
        </w:rPr>
        <w:t>模式</w:t>
      </w:r>
    </w:p>
    <w:p w14:paraId="5F38F349" w14:textId="0417EED1" w:rsidR="00917118" w:rsidRDefault="000D31C4">
      <w:r>
        <w:rPr>
          <w:rFonts w:ascii="Helvetica Neue" w:hAnsi="Helvetica Neue"/>
          <w:color w:val="333333"/>
          <w:shd w:val="clear" w:color="auto" w:fill="FFFFFF"/>
        </w:rPr>
        <w:t>公司提供独立产品订阅、行业集合包、企业商业安排（</w:t>
      </w:r>
      <w:r>
        <w:rPr>
          <w:rFonts w:ascii="Helvetica Neue" w:hAnsi="Helvetica Neue"/>
          <w:color w:val="333333"/>
          <w:shd w:val="clear" w:color="auto" w:fill="FFFFFF"/>
        </w:rPr>
        <w:t>EBA</w:t>
      </w:r>
      <w:r>
        <w:rPr>
          <w:rFonts w:ascii="Helvetica Neue" w:hAnsi="Helvetica Neue"/>
          <w:color w:val="333333"/>
          <w:shd w:val="clear" w:color="auto" w:fill="FFFFFF"/>
        </w:rPr>
        <w:t>）和云服务订阅计划，整体上以期限订阅为主要收费方式，以桌面软件和云功能混合交付。独立订阅面向产品级需求；行业集合包将相关工具打包；</w:t>
      </w:r>
      <w:r>
        <w:rPr>
          <w:rFonts w:ascii="Helvetica Neue" w:hAnsi="Helvetica Neue"/>
          <w:color w:val="333333"/>
          <w:shd w:val="clear" w:color="auto" w:fill="FFFFFF"/>
        </w:rPr>
        <w:t xml:space="preserve">EBA </w:t>
      </w:r>
      <w:r>
        <w:rPr>
          <w:rFonts w:ascii="Helvetica Neue" w:hAnsi="Helvetica Neue"/>
          <w:color w:val="333333"/>
          <w:shd w:val="clear" w:color="auto" w:fill="FFFFFF"/>
        </w:rPr>
        <w:t>面</w:t>
      </w:r>
      <w:r>
        <w:rPr>
          <w:rFonts w:ascii="Helvetica Neue" w:hAnsi="Helvetica Neue"/>
          <w:color w:val="333333"/>
          <w:shd w:val="clear" w:color="auto" w:fill="FFFFFF"/>
        </w:rPr>
        <w:lastRenderedPageBreak/>
        <w:t>向企业多年期、多产品使用；云服务则提供协同、移动、数据管理和施工</w:t>
      </w:r>
      <w:r>
        <w:rPr>
          <w:rFonts w:ascii="Helvetica Neue" w:hAnsi="Helvetica Neue"/>
          <w:color w:val="333333"/>
          <w:shd w:val="clear" w:color="auto" w:fill="FFFFFF"/>
        </w:rPr>
        <w:t>/</w:t>
      </w:r>
      <w:r>
        <w:rPr>
          <w:rFonts w:ascii="Helvetica Neue" w:hAnsi="Helvetica Neue"/>
          <w:color w:val="333333"/>
          <w:shd w:val="clear" w:color="auto" w:fill="FFFFFF"/>
        </w:rPr>
        <w:t>制造流程能力。</w:t>
      </w:r>
    </w:p>
    <w:p w14:paraId="1A6ADEF9" w14:textId="4FA7D36E" w:rsidR="00917118" w:rsidRDefault="00D11E16">
      <w:r>
        <w:rPr>
          <w:rFonts w:ascii="Helvetica Neue" w:hAnsi="Helvetica Neue"/>
          <w:color w:val="333333"/>
          <w:shd w:val="clear" w:color="auto" w:fill="FFFFFF"/>
        </w:rPr>
        <w:t>这种结构使公司区别于传统永久许可证模式。客户先获得合约性访问权，公司再随时间确认收入，因此合同义务、递延收入和剩余履约义务成为观察未来收入能见度的重要指标。</w:t>
      </w:r>
    </w:p>
    <w:p w14:paraId="2D9F12E1" w14:textId="456E4877" w:rsidR="00917118" w:rsidRDefault="00102414">
      <w:r>
        <w:rPr>
          <w:rFonts w:ascii="Helvetica Neue" w:hAnsi="Helvetica Neue"/>
          <w:color w:val="333333"/>
          <w:shd w:val="clear" w:color="auto" w:fill="FFFFFF"/>
        </w:rPr>
        <w:t xml:space="preserve">Autodesk </w:t>
      </w:r>
      <w:r>
        <w:rPr>
          <w:rFonts w:ascii="Helvetica Neue" w:hAnsi="Helvetica Neue"/>
          <w:color w:val="333333"/>
          <w:shd w:val="clear" w:color="auto" w:fill="FFFFFF"/>
        </w:rPr>
        <w:t>的长期价值取决于客户是否将产品嵌入日常工作流，而不是单次工具采购。</w:t>
      </w:r>
    </w:p>
    <w:p w14:paraId="118CB36E" w14:textId="77777777" w:rsidR="00917118" w:rsidRDefault="00917118"/>
    <w:p w14:paraId="5815C33A" w14:textId="71D02430" w:rsidR="004F6210" w:rsidRPr="00922F52" w:rsidRDefault="004F6210" w:rsidP="00283562">
      <w:pPr>
        <w:pStyle w:val="3"/>
      </w:pPr>
      <w:r w:rsidRPr="004F6210">
        <w:t>战略</w:t>
      </w:r>
    </w:p>
    <w:p w14:paraId="55E089D5" w14:textId="4B241BEF" w:rsidR="000759D4" w:rsidRPr="006C640D" w:rsidRDefault="00BA00FA" w:rsidP="006C640D">
      <w:r>
        <w:rPr>
          <w:rFonts w:hint="eastAsia"/>
        </w:rPr>
        <w:t>Autodesk</w:t>
      </w:r>
      <w:r w:rsidR="0017010E">
        <w:rPr>
          <w:rFonts w:hint="eastAsia"/>
        </w:rPr>
        <w:t>的</w:t>
      </w:r>
      <w:r w:rsidR="000759D4">
        <w:rPr>
          <w:rFonts w:hint="eastAsia"/>
        </w:rPr>
        <w:t>战略核心词是convergence（收敛），</w:t>
      </w:r>
      <w:r w:rsidR="006C640D">
        <w:t>不是</w:t>
      </w:r>
      <w:r w:rsidR="006C640D">
        <w:rPr>
          <w:rFonts w:hint="eastAsia"/>
        </w:rPr>
        <w:t>追求开发推出更多新产品</w:t>
      </w:r>
      <w:r w:rsidR="006C640D">
        <w:t>，而是</w:t>
      </w:r>
      <w:r w:rsidR="006C640D">
        <w:rPr>
          <w:rFonts w:hint="eastAsia"/>
        </w:rPr>
        <w:t>：</w:t>
      </w:r>
      <w:r w:rsidR="006C640D">
        <w:t>客户的项目数据，过去被割裂在几十个彼此不通的桌面软件里；Autodesk 要做的，是把设计、制造、运营收拢到同一套数据上，让数据流动起来。</w:t>
      </w:r>
      <w:r w:rsidR="00C73342">
        <w:rPr>
          <w:rFonts w:hint="eastAsia"/>
        </w:rPr>
        <w:t>——</w:t>
      </w:r>
      <w:r w:rsidR="00C73342" w:rsidRPr="00C73342">
        <w:t>"Design and Make platform"</w:t>
      </w:r>
      <w:r w:rsidR="00C73342">
        <w:rPr>
          <w:rFonts w:hint="eastAsia"/>
        </w:rPr>
        <w:t>，一个“设计+制造”连城一体的平台。围绕convergence这个战略核心，衍生出落脚于3个不同行业上的3个试点：Fusion、Forma、Flow。</w:t>
      </w:r>
    </w:p>
    <w:p w14:paraId="5973615E" w14:textId="06F6F113" w:rsidR="00113D41" w:rsidRDefault="00113D41">
      <w:r w:rsidRPr="00113D41">
        <w:rPr>
          <w:noProof/>
        </w:rPr>
        <w:drawing>
          <wp:inline distT="0" distB="0" distL="0" distR="0" wp14:anchorId="631D6149" wp14:editId="23689014">
            <wp:extent cx="5520267" cy="2744310"/>
            <wp:effectExtent l="0" t="0" r="4445" b="0"/>
            <wp:docPr id="13852677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267704" name=""/>
                    <pic:cNvPicPr/>
                  </pic:nvPicPr>
                  <pic:blipFill>
                    <a:blip r:embed="rId10"/>
                    <a:stretch>
                      <a:fillRect/>
                    </a:stretch>
                  </pic:blipFill>
                  <pic:spPr>
                    <a:xfrm>
                      <a:off x="0" y="0"/>
                      <a:ext cx="5547950" cy="2758072"/>
                    </a:xfrm>
                    <a:prstGeom prst="rect">
                      <a:avLst/>
                    </a:prstGeom>
                  </pic:spPr>
                </pic:pic>
              </a:graphicData>
            </a:graphic>
          </wp:inline>
        </w:drawing>
      </w:r>
    </w:p>
    <w:p w14:paraId="0A1CCFA1" w14:textId="2A1673F8" w:rsidR="00113D41" w:rsidRDefault="003B052B">
      <w:r w:rsidRPr="003B052B">
        <w:rPr>
          <w:noProof/>
        </w:rPr>
        <w:drawing>
          <wp:inline distT="0" distB="0" distL="0" distR="0" wp14:anchorId="3A6BC311" wp14:editId="07AEE718">
            <wp:extent cx="6645910" cy="2775585"/>
            <wp:effectExtent l="0" t="0" r="0" b="5715"/>
            <wp:docPr id="19197285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728522" name=""/>
                    <pic:cNvPicPr/>
                  </pic:nvPicPr>
                  <pic:blipFill>
                    <a:blip r:embed="rId11"/>
                    <a:stretch>
                      <a:fillRect/>
                    </a:stretch>
                  </pic:blipFill>
                  <pic:spPr>
                    <a:xfrm>
                      <a:off x="0" y="0"/>
                      <a:ext cx="6645910" cy="2775585"/>
                    </a:xfrm>
                    <a:prstGeom prst="rect">
                      <a:avLst/>
                    </a:prstGeom>
                  </pic:spPr>
                </pic:pic>
              </a:graphicData>
            </a:graphic>
          </wp:inline>
        </w:drawing>
      </w:r>
    </w:p>
    <w:p w14:paraId="089E0E7F" w14:textId="418FD293" w:rsidR="002345F9" w:rsidRDefault="00D61585">
      <w:r>
        <w:rPr>
          <w:rFonts w:hint="eastAsia"/>
        </w:rPr>
        <w:t>Autodesk同时服务三个完全不同的客户群，每个客户群行业的割裂点不一样。</w:t>
      </w:r>
    </w:p>
    <w:p w14:paraId="3AA4B987" w14:textId="77777777" w:rsidR="00D61585" w:rsidRDefault="00D61585" w:rsidP="00D61585">
      <w:pPr>
        <w:ind w:firstLine="420"/>
      </w:pPr>
      <w:r w:rsidRPr="00D61585">
        <w:rPr>
          <w:rFonts w:hint="eastAsia"/>
          <w:b/>
          <w:bCs/>
        </w:rPr>
        <w:t>Fusion-制造业</w:t>
      </w:r>
    </w:p>
    <w:p w14:paraId="619B7A73" w14:textId="5E91475A" w:rsidR="00D61585" w:rsidRDefault="00D61585" w:rsidP="00D61585">
      <w:pPr>
        <w:ind w:left="420" w:firstLine="420"/>
      </w:pPr>
      <w:r>
        <w:rPr>
          <w:rFonts w:hint="eastAsia"/>
        </w:rPr>
        <w:lastRenderedPageBreak/>
        <w:t>割裂点：设计软件≠制造软件。CAD（画）、CAM（加工）、CAE（仿真）是三类工具/三套软件。</w:t>
      </w:r>
    </w:p>
    <w:p w14:paraId="5B2845F1" w14:textId="7C50A358" w:rsidR="00D61585" w:rsidRPr="00D61585" w:rsidRDefault="00D61585" w:rsidP="00D61585">
      <w:pPr>
        <w:rPr>
          <w:b/>
          <w:bCs/>
        </w:rPr>
      </w:pPr>
      <w:r>
        <w:tab/>
      </w:r>
      <w:r w:rsidRPr="00D61585">
        <w:rPr>
          <w:rFonts w:hint="eastAsia"/>
          <w:b/>
          <w:bCs/>
        </w:rPr>
        <w:t>Forma-建筑</w:t>
      </w:r>
    </w:p>
    <w:p w14:paraId="67B5C851" w14:textId="2DF95AD0" w:rsidR="00D61585" w:rsidRDefault="00D61585" w:rsidP="00AF1BEF">
      <w:r>
        <w:tab/>
      </w:r>
      <w:r>
        <w:tab/>
      </w:r>
      <w:r>
        <w:rPr>
          <w:rFonts w:hint="eastAsia"/>
        </w:rPr>
        <w:t>割裂点：设计图≠施工图。</w:t>
      </w:r>
      <w:r w:rsidR="00443E9A">
        <w:rPr>
          <w:rFonts w:hint="eastAsia"/>
        </w:rPr>
        <w:t>设计师</w:t>
      </w:r>
      <w:r w:rsidR="0070708D">
        <w:rPr>
          <w:rFonts w:hint="eastAsia"/>
        </w:rPr>
        <w:t>画完图要</w:t>
      </w:r>
      <w:r w:rsidR="00953E8B">
        <w:rPr>
          <w:rFonts w:hint="eastAsia"/>
        </w:rPr>
        <w:t>为施工方</w:t>
      </w:r>
      <w:r w:rsidR="0070708D">
        <w:rPr>
          <w:rFonts w:hint="eastAsia"/>
        </w:rPr>
        <w:t>翻译成施工文档。</w:t>
      </w:r>
    </w:p>
    <w:p w14:paraId="340EF900" w14:textId="74049130" w:rsidR="0070708D" w:rsidRPr="0070708D" w:rsidRDefault="0070708D">
      <w:pPr>
        <w:rPr>
          <w:b/>
          <w:bCs/>
        </w:rPr>
      </w:pPr>
      <w:r>
        <w:tab/>
      </w:r>
      <w:r w:rsidRPr="0070708D">
        <w:rPr>
          <w:rFonts w:hint="eastAsia"/>
          <w:b/>
          <w:bCs/>
        </w:rPr>
        <w:t>Flow-影视</w:t>
      </w:r>
    </w:p>
    <w:p w14:paraId="627FAF19" w14:textId="27DD69D4" w:rsidR="009822F1" w:rsidRPr="00D450D4" w:rsidRDefault="0070708D" w:rsidP="009822F1">
      <w:r>
        <w:tab/>
      </w:r>
      <w:r>
        <w:tab/>
      </w:r>
      <w:r>
        <w:rPr>
          <w:rFonts w:hint="eastAsia"/>
        </w:rPr>
        <w:t>割裂点：团队分散全球。制片/制作/艺术家/导演各用各的，进度/审阅不对齐。</w:t>
      </w:r>
    </w:p>
    <w:p w14:paraId="134E10B1" w14:textId="423EEE23" w:rsidR="009822F1" w:rsidRPr="009822F1" w:rsidRDefault="009822F1" w:rsidP="009822F1">
      <w:r w:rsidRPr="009822F1">
        <w:t>Design and Make platform</w:t>
      </w:r>
      <w:r>
        <w:rPr>
          <w:rFonts w:hint="eastAsia"/>
        </w:rPr>
        <w:t>——</w:t>
      </w:r>
      <w:r w:rsidRPr="009822F1">
        <w:rPr>
          <w:rStyle w:val="ae"/>
          <w:rFonts w:ascii="Segoe UI" w:hAnsi="Segoe UI" w:cs="Segoe UI"/>
          <w:b w:val="0"/>
          <w:bCs w:val="0"/>
          <w:sz w:val="23"/>
          <w:szCs w:val="23"/>
          <w:shd w:val="clear" w:color="auto" w:fill="FFFFFF"/>
        </w:rPr>
        <w:t>把</w:t>
      </w:r>
      <w:r w:rsidRPr="009822F1">
        <w:rPr>
          <w:rStyle w:val="ae"/>
          <w:rFonts w:ascii="Segoe UI" w:hAnsi="Segoe UI" w:cs="Segoe UI"/>
          <w:b w:val="0"/>
          <w:bCs w:val="0"/>
          <w:sz w:val="23"/>
          <w:szCs w:val="23"/>
          <w:shd w:val="clear" w:color="auto" w:fill="FFFFFF"/>
        </w:rPr>
        <w:t>"</w:t>
      </w:r>
      <w:r w:rsidRPr="009822F1">
        <w:rPr>
          <w:rStyle w:val="ae"/>
          <w:rFonts w:ascii="Segoe UI" w:hAnsi="Segoe UI" w:cs="Segoe UI"/>
          <w:b w:val="0"/>
          <w:bCs w:val="0"/>
          <w:sz w:val="23"/>
          <w:szCs w:val="23"/>
          <w:shd w:val="clear" w:color="auto" w:fill="FFFFFF"/>
        </w:rPr>
        <w:t>设计出来的东西</w:t>
      </w:r>
      <w:r w:rsidRPr="009822F1">
        <w:rPr>
          <w:rStyle w:val="ae"/>
          <w:rFonts w:ascii="Segoe UI" w:hAnsi="Segoe UI" w:cs="Segoe UI"/>
          <w:b w:val="0"/>
          <w:bCs w:val="0"/>
          <w:sz w:val="23"/>
          <w:szCs w:val="23"/>
          <w:shd w:val="clear" w:color="auto" w:fill="FFFFFF"/>
        </w:rPr>
        <w:t>"</w:t>
      </w:r>
      <w:r w:rsidRPr="009822F1">
        <w:rPr>
          <w:rStyle w:val="ae"/>
          <w:rFonts w:ascii="Segoe UI" w:hAnsi="Segoe UI" w:cs="Segoe UI"/>
          <w:b w:val="0"/>
          <w:bCs w:val="0"/>
          <w:sz w:val="23"/>
          <w:szCs w:val="23"/>
          <w:shd w:val="clear" w:color="auto" w:fill="FFFFFF"/>
        </w:rPr>
        <w:t>和</w:t>
      </w:r>
      <w:r w:rsidRPr="009822F1">
        <w:rPr>
          <w:rStyle w:val="ae"/>
          <w:rFonts w:ascii="Segoe UI" w:hAnsi="Segoe UI" w:cs="Segoe UI"/>
          <w:b w:val="0"/>
          <w:bCs w:val="0"/>
          <w:sz w:val="23"/>
          <w:szCs w:val="23"/>
          <w:shd w:val="clear" w:color="auto" w:fill="FFFFFF"/>
        </w:rPr>
        <w:t>"</w:t>
      </w:r>
      <w:r w:rsidRPr="009822F1">
        <w:rPr>
          <w:rStyle w:val="ae"/>
          <w:rFonts w:ascii="Segoe UI" w:hAnsi="Segoe UI" w:cs="Segoe UI"/>
          <w:b w:val="0"/>
          <w:bCs w:val="0"/>
          <w:sz w:val="23"/>
          <w:szCs w:val="23"/>
          <w:shd w:val="clear" w:color="auto" w:fill="FFFFFF"/>
        </w:rPr>
        <w:t>最终造出来的东西</w:t>
      </w:r>
      <w:r w:rsidRPr="009822F1">
        <w:rPr>
          <w:rStyle w:val="ae"/>
          <w:rFonts w:ascii="Segoe UI" w:hAnsi="Segoe UI" w:cs="Segoe UI"/>
          <w:b w:val="0"/>
          <w:bCs w:val="0"/>
          <w:sz w:val="23"/>
          <w:szCs w:val="23"/>
          <w:shd w:val="clear" w:color="auto" w:fill="FFFFFF"/>
        </w:rPr>
        <w:t>"</w:t>
      </w:r>
      <w:r w:rsidRPr="009822F1">
        <w:rPr>
          <w:rStyle w:val="ae"/>
          <w:rFonts w:ascii="Segoe UI" w:hAnsi="Segoe UI" w:cs="Segoe UI"/>
          <w:b w:val="0"/>
          <w:bCs w:val="0"/>
          <w:sz w:val="23"/>
          <w:szCs w:val="23"/>
          <w:shd w:val="clear" w:color="auto" w:fill="FFFFFF"/>
        </w:rPr>
        <w:t>之间的所有信息损耗和协作摩擦，用一套云上数据模型消灭掉。</w:t>
      </w:r>
    </w:p>
    <w:p w14:paraId="07A32067" w14:textId="29920436" w:rsidR="00F76ABD" w:rsidRDefault="00F76ABD" w:rsidP="00A660B0">
      <w:pPr>
        <w:ind w:firstLine="420"/>
      </w:pPr>
      <w:r w:rsidRPr="00414CD8">
        <w:rPr>
          <w:rFonts w:hint="eastAsia"/>
          <w:b/>
          <w:bCs/>
        </w:rPr>
        <w:t>共享平台底座</w:t>
      </w:r>
      <w:r w:rsidR="009822F1">
        <w:rPr>
          <w:rFonts w:hint="eastAsia"/>
        </w:rPr>
        <w:t>：</w:t>
      </w:r>
      <w:r>
        <w:rPr>
          <w:rFonts w:hint="eastAsia"/>
        </w:rPr>
        <w:t>Autodesk AI + Autodesk Platform Services（APS）+ MCP server + API</w:t>
      </w:r>
    </w:p>
    <w:p w14:paraId="1C8ABDCB" w14:textId="77777777" w:rsidR="003B052B" w:rsidRDefault="003B052B"/>
    <w:p w14:paraId="114E7AA6" w14:textId="77777777" w:rsidR="00F65F2F" w:rsidRPr="00FC55B3" w:rsidRDefault="00F65F2F" w:rsidP="00AE286A">
      <w:pPr>
        <w:pStyle w:val="3"/>
      </w:pPr>
      <w:r w:rsidRPr="00FC55B3">
        <w:rPr>
          <w:shd w:val="clear" w:color="auto" w:fill="FFFFFF"/>
        </w:rPr>
        <w:t>直接渠道转型</w:t>
      </w:r>
    </w:p>
    <w:p w14:paraId="7364D7C7" w14:textId="2D65930D" w:rsidR="00AE286A" w:rsidRDefault="00AE286A" w:rsidP="00F65F2F">
      <w:pPr>
        <w:rPr>
          <w:rFonts w:ascii="Helvetica Neue" w:hAnsi="Helvetica Neue"/>
          <w:color w:val="333333"/>
          <w:shd w:val="clear" w:color="auto" w:fill="FFFFFF"/>
        </w:rPr>
      </w:pPr>
      <w:r>
        <w:rPr>
          <w:rFonts w:ascii="Helvetica Neue" w:hAnsi="Helvetica Neue" w:hint="eastAsia"/>
          <w:color w:val="333333"/>
          <w:shd w:val="clear" w:color="auto" w:fill="FFFFFF"/>
        </w:rPr>
        <w:t>Autodesk</w:t>
      </w:r>
      <w:r>
        <w:rPr>
          <w:rFonts w:ascii="Helvetica Neue" w:hAnsi="Helvetica Neue" w:hint="eastAsia"/>
          <w:color w:val="333333"/>
          <w:shd w:val="clear" w:color="auto" w:fill="FFFFFF"/>
        </w:rPr>
        <w:t>的产品销往全球，历史上长期依赖经销商</w:t>
      </w:r>
      <w:r>
        <w:rPr>
          <w:rFonts w:ascii="Helvetica Neue" w:hAnsi="Helvetica Neue" w:hint="eastAsia"/>
          <w:color w:val="333333"/>
          <w:shd w:val="clear" w:color="auto" w:fill="FFFFFF"/>
        </w:rPr>
        <w:t>/</w:t>
      </w:r>
      <w:r>
        <w:rPr>
          <w:rFonts w:ascii="Helvetica Neue" w:hAnsi="Helvetica Neue" w:hint="eastAsia"/>
          <w:color w:val="333333"/>
          <w:shd w:val="clear" w:color="auto" w:fill="FFFFFF"/>
        </w:rPr>
        <w:t>分销网络。</w:t>
      </w:r>
      <w:r>
        <w:rPr>
          <w:rFonts w:ascii="Helvetica Neue" w:hAnsi="Helvetica Neue" w:hint="eastAsia"/>
          <w:color w:val="333333"/>
          <w:shd w:val="clear" w:color="auto" w:fill="FFFFFF"/>
        </w:rPr>
        <w:t>FY2024</w:t>
      </w:r>
      <w:r>
        <w:rPr>
          <w:rFonts w:ascii="Helvetica Neue" w:hAnsi="Helvetica Neue" w:hint="eastAsia"/>
          <w:color w:val="333333"/>
          <w:shd w:val="clear" w:color="auto" w:fill="FFFFFF"/>
        </w:rPr>
        <w:t>，仅</w:t>
      </w:r>
      <w:r>
        <w:rPr>
          <w:rFonts w:ascii="Helvetica Neue" w:hAnsi="Helvetica Neue" w:hint="eastAsia"/>
          <w:color w:val="333333"/>
          <w:shd w:val="clear" w:color="auto" w:fill="FFFFFF"/>
        </w:rPr>
        <w:t>TD Synnex</w:t>
      </w:r>
      <w:r>
        <w:rPr>
          <w:rFonts w:ascii="Helvetica Neue" w:hAnsi="Helvetica Neue" w:hint="eastAsia"/>
          <w:color w:val="333333"/>
          <w:shd w:val="clear" w:color="auto" w:fill="FFFFFF"/>
        </w:rPr>
        <w:t>一家分销商就占净收入的</w:t>
      </w:r>
      <w:r>
        <w:rPr>
          <w:rFonts w:ascii="Helvetica Neue" w:hAnsi="Helvetica Neue" w:hint="eastAsia"/>
          <w:color w:val="333333"/>
          <w:shd w:val="clear" w:color="auto" w:fill="FFFFFF"/>
        </w:rPr>
        <w:t>39%</w:t>
      </w:r>
      <w:r>
        <w:rPr>
          <w:rFonts w:ascii="Helvetica Neue" w:hAnsi="Helvetica Neue" w:hint="eastAsia"/>
          <w:color w:val="333333"/>
          <w:shd w:val="clear" w:color="auto" w:fill="FFFFFF"/>
        </w:rPr>
        <w:t>，再加上</w:t>
      </w:r>
      <w:r>
        <w:rPr>
          <w:rFonts w:ascii="Helvetica Neue" w:hAnsi="Helvetica Neue" w:hint="eastAsia"/>
          <w:color w:val="333333"/>
          <w:shd w:val="clear" w:color="auto" w:fill="FFFFFF"/>
        </w:rPr>
        <w:t>Ingram Micro</w:t>
      </w:r>
      <w:r>
        <w:rPr>
          <w:rFonts w:ascii="Helvetica Neue" w:hAnsi="Helvetica Neue" w:hint="eastAsia"/>
          <w:color w:val="333333"/>
          <w:shd w:val="clear" w:color="auto" w:fill="FFFFFF"/>
        </w:rPr>
        <w:t>，两家合计近一半。</w:t>
      </w:r>
    </w:p>
    <w:p w14:paraId="2E92AAA1" w14:textId="77777777" w:rsidR="00234FA9" w:rsidRDefault="00234FA9" w:rsidP="00F65F2F">
      <w:pPr>
        <w:rPr>
          <w:rFonts w:ascii="Helvetica Neue" w:hAnsi="Helvetica Neue"/>
          <w:color w:val="333333"/>
          <w:shd w:val="clear" w:color="auto" w:fill="FFFFFF"/>
        </w:rPr>
      </w:pPr>
      <w:r>
        <w:rPr>
          <w:rFonts w:ascii="Helvetica Neue" w:hAnsi="Helvetica Neue" w:hint="eastAsia"/>
          <w:color w:val="333333"/>
          <w:shd w:val="clear" w:color="auto" w:fill="FFFFFF"/>
        </w:rPr>
        <w:t>管理层推动的直接渠道转型有三种形态：</w:t>
      </w:r>
    </w:p>
    <w:p w14:paraId="496EC225" w14:textId="3EE77D99" w:rsidR="00AE286A" w:rsidRPr="00234FA9" w:rsidRDefault="00234FA9" w:rsidP="00234FA9">
      <w:pPr>
        <w:pStyle w:val="a9"/>
        <w:numPr>
          <w:ilvl w:val="0"/>
          <w:numId w:val="2"/>
        </w:numPr>
        <w:rPr>
          <w:rFonts w:ascii="Helvetica Neue" w:hAnsi="Helvetica Neue"/>
          <w:color w:val="333333"/>
          <w:shd w:val="clear" w:color="auto" w:fill="FFFFFF"/>
        </w:rPr>
      </w:pPr>
      <w:r w:rsidRPr="00234FA9">
        <w:rPr>
          <w:rFonts w:ascii="Helvetica Neue" w:hAnsi="Helvetica Neue" w:hint="eastAsia"/>
          <w:color w:val="333333"/>
          <w:shd w:val="clear" w:color="auto" w:fill="FFFFFF"/>
        </w:rPr>
        <w:t>企业</w:t>
      </w:r>
      <w:r w:rsidRPr="00234FA9">
        <w:rPr>
          <w:rFonts w:ascii="Helvetica Neue" w:hAnsi="Helvetica Neue" w:hint="eastAsia"/>
          <w:color w:val="333333"/>
          <w:shd w:val="clear" w:color="auto" w:fill="FFFFFF"/>
        </w:rPr>
        <w:t>/</w:t>
      </w:r>
      <w:r w:rsidRPr="00234FA9">
        <w:rPr>
          <w:rFonts w:ascii="Helvetica Neue" w:hAnsi="Helvetica Neue" w:hint="eastAsia"/>
          <w:color w:val="333333"/>
          <w:shd w:val="clear" w:color="auto" w:fill="FFFFFF"/>
        </w:rPr>
        <w:t>指名大客户直销</w:t>
      </w:r>
    </w:p>
    <w:p w14:paraId="603A7D58" w14:textId="3442FC01" w:rsidR="00234FA9" w:rsidRDefault="00234FA9" w:rsidP="00234FA9">
      <w:pPr>
        <w:pStyle w:val="a9"/>
        <w:numPr>
          <w:ilvl w:val="0"/>
          <w:numId w:val="2"/>
        </w:numPr>
        <w:rPr>
          <w:rFonts w:ascii="Helvetica Neue" w:hAnsi="Helvetica Neue"/>
          <w:color w:val="333333"/>
          <w:shd w:val="clear" w:color="auto" w:fill="FFFFFF"/>
        </w:rPr>
      </w:pPr>
      <w:r>
        <w:rPr>
          <w:rFonts w:ascii="Helvetica Neue" w:hAnsi="Helvetica Neue" w:hint="eastAsia"/>
          <w:color w:val="333333"/>
          <w:shd w:val="clear" w:color="auto" w:fill="FFFFFF"/>
        </w:rPr>
        <w:t>在线品牌商店</w:t>
      </w:r>
    </w:p>
    <w:p w14:paraId="4BE28DB9" w14:textId="5C8F5EE6" w:rsidR="00890296" w:rsidRDefault="00234FA9" w:rsidP="00F65F2F">
      <w:pPr>
        <w:pStyle w:val="a9"/>
        <w:numPr>
          <w:ilvl w:val="0"/>
          <w:numId w:val="2"/>
        </w:numPr>
        <w:rPr>
          <w:rFonts w:ascii="Helvetica Neue" w:hAnsi="Helvetica Neue"/>
          <w:color w:val="333333"/>
          <w:shd w:val="clear" w:color="auto" w:fill="FFFFFF"/>
        </w:rPr>
      </w:pPr>
      <w:r>
        <w:rPr>
          <w:rFonts w:ascii="Helvetica Neue" w:hAnsi="Helvetica Neue" w:hint="eastAsia"/>
          <w:color w:val="333333"/>
          <w:shd w:val="clear" w:color="auto" w:fill="FFFFFF"/>
        </w:rPr>
        <w:t>新交易模</w:t>
      </w:r>
      <w:r w:rsidR="00890296">
        <w:rPr>
          <w:rFonts w:ascii="Helvetica Neue" w:hAnsi="Helvetica Neue" w:hint="eastAsia"/>
          <w:color w:val="333333"/>
          <w:shd w:val="clear" w:color="auto" w:fill="FFFFFF"/>
        </w:rPr>
        <w:t>型</w:t>
      </w:r>
      <w:r>
        <w:rPr>
          <w:rFonts w:ascii="Helvetica Neue" w:hAnsi="Helvetica Neue" w:hint="eastAsia"/>
          <w:color w:val="333333"/>
          <w:shd w:val="clear" w:color="auto" w:fill="FFFFFF"/>
        </w:rPr>
        <w:t>：</w:t>
      </w:r>
      <w:r w:rsidR="00D61BB2">
        <w:rPr>
          <w:rFonts w:ascii="Helvetica Neue" w:hAnsi="Helvetica Neue" w:hint="eastAsia"/>
          <w:color w:val="333333"/>
          <w:shd w:val="clear" w:color="auto" w:fill="FFFFFF"/>
        </w:rPr>
        <w:t>方案提供商（</w:t>
      </w:r>
      <w:r>
        <w:rPr>
          <w:rFonts w:ascii="Helvetica Neue" w:hAnsi="Helvetica Neue" w:hint="eastAsia"/>
          <w:color w:val="333333"/>
          <w:shd w:val="clear" w:color="auto" w:fill="FFFFFF"/>
        </w:rPr>
        <w:t>solution provider</w:t>
      </w:r>
      <w:r w:rsidR="00D61BB2">
        <w:rPr>
          <w:rFonts w:ascii="Helvetica Neue" w:hAnsi="Helvetica Neue" w:hint="eastAsia"/>
          <w:color w:val="333333"/>
          <w:shd w:val="clear" w:color="auto" w:fill="FFFFFF"/>
        </w:rPr>
        <w:t>）</w:t>
      </w:r>
      <w:r>
        <w:rPr>
          <w:rFonts w:ascii="Helvetica Neue" w:hAnsi="Helvetica Neue" w:hint="eastAsia"/>
          <w:color w:val="333333"/>
          <w:shd w:val="clear" w:color="auto" w:fill="FFFFFF"/>
        </w:rPr>
        <w:t>报价，客户直签。新交易模式是直接渠道中新增的、正在扩张的形态。</w:t>
      </w:r>
    </w:p>
    <w:p w14:paraId="1B5EA186" w14:textId="77777777" w:rsidR="00D32287" w:rsidRPr="00D32287" w:rsidRDefault="00D32287" w:rsidP="00D32287">
      <w:pPr>
        <w:rPr>
          <w:rFonts w:ascii="Helvetica Neue" w:hAnsi="Helvetica Neue"/>
          <w:color w:val="333333"/>
          <w:shd w:val="clear" w:color="auto" w:fill="FFFFFF"/>
        </w:rPr>
      </w:pPr>
    </w:p>
    <w:p w14:paraId="457D4A7D" w14:textId="77777777" w:rsidR="00890296" w:rsidRPr="00324762" w:rsidRDefault="00890296" w:rsidP="00890296">
      <w:pPr>
        <w:rPr>
          <w:b/>
          <w:bCs/>
        </w:rPr>
      </w:pPr>
      <w:r w:rsidRPr="00324762">
        <w:rPr>
          <w:rFonts w:hint="eastAsia"/>
          <w:b/>
          <w:bCs/>
        </w:rPr>
        <w:t>Flex</w:t>
      </w:r>
    </w:p>
    <w:p w14:paraId="729F6DBB" w14:textId="78223DED" w:rsidR="00890296" w:rsidRDefault="00890296" w:rsidP="00890296">
      <w:r>
        <w:rPr>
          <w:rFonts w:hint="eastAsia"/>
        </w:rPr>
        <w:t>Flex是Autodesk的一种“按用量付费、预付token”的自助式消费订阅模式“，是“新交易模型”中的一种载体，2024年最早在北美试点，成功后扩展到更多订阅产品。先买token再消耗，用多少付多少，覆盖多个产品、可混搭，按日结算费用。</w:t>
      </w:r>
    </w:p>
    <w:p w14:paraId="69419458" w14:textId="77777777" w:rsidR="00890296" w:rsidRDefault="00890296" w:rsidP="00890296">
      <w:r>
        <w:rPr>
          <w:rFonts w:hint="eastAsia"/>
        </w:rPr>
        <w:t>Flex面向所有客户，token是低门槛零散购买。EBA也有token计费模式，但EBA面向大型企业签多年合同，token池是谈判出来的大批量额度。因此，Flex才是真正意义上的 “消费模式“。</w:t>
      </w:r>
    </w:p>
    <w:p w14:paraId="13E4E616" w14:textId="77777777" w:rsidR="00890296" w:rsidRDefault="00890296" w:rsidP="00890296">
      <w:r>
        <w:rPr>
          <w:rFonts w:hint="eastAsia"/>
        </w:rPr>
        <w:t>降低购买门槛后，中小企业的采用加速了，且是客户驱动的变化，对业务是“净增自由现金流“贡献。管理层将Flex作为长期战略之一，目标是让客户按需获取产品组合中的各项能力、混合搭配，并将Flex明确定位为未来”工作流自动化、系统级自动化“产生消费性收入的载体。但</w:t>
      </w:r>
      <w:r w:rsidRPr="00C468C7">
        <w:t>当前阶段AI收入还内嵌在订阅里，等走到更深层自动化，才"通过 Flex 体现更多消费性收入"。</w:t>
      </w:r>
    </w:p>
    <w:p w14:paraId="30F9D3DD" w14:textId="77777777" w:rsidR="009E0A94" w:rsidRDefault="009E0A94" w:rsidP="00F65F2F">
      <w:pPr>
        <w:rPr>
          <w:rFonts w:ascii="Helvetica Neue" w:hAnsi="Helvetica Neue"/>
          <w:color w:val="333333"/>
          <w:shd w:val="clear" w:color="auto" w:fill="FFFFFF"/>
        </w:rPr>
      </w:pPr>
    </w:p>
    <w:p w14:paraId="5807655D" w14:textId="6CDB78D8" w:rsidR="000B3412" w:rsidRPr="000B3412" w:rsidRDefault="000B3412" w:rsidP="00F65F2F">
      <w:pPr>
        <w:rPr>
          <w:rFonts w:ascii="Helvetica Neue" w:hAnsi="Helvetica Neue"/>
          <w:b/>
          <w:bCs/>
          <w:color w:val="333333"/>
          <w:shd w:val="clear" w:color="auto" w:fill="FFFFFF"/>
        </w:rPr>
      </w:pPr>
      <w:r w:rsidRPr="000B3412">
        <w:rPr>
          <w:rFonts w:ascii="Helvetica Neue" w:hAnsi="Helvetica Neue" w:hint="eastAsia"/>
          <w:b/>
          <w:bCs/>
          <w:color w:val="333333"/>
          <w:shd w:val="clear" w:color="auto" w:fill="FFFFFF"/>
        </w:rPr>
        <w:t>会计处理变更</w:t>
      </w:r>
    </w:p>
    <w:p w14:paraId="4FA95F08" w14:textId="33851C46" w:rsidR="009A2E70" w:rsidRDefault="009A2E70" w:rsidP="00D32287">
      <w:pPr>
        <w:rPr>
          <w:rFonts w:ascii="Helvetica Neue" w:hAnsi="Helvetica Neue"/>
          <w:color w:val="333333"/>
          <w:shd w:val="clear" w:color="auto" w:fill="FFFFFF"/>
        </w:rPr>
      </w:pPr>
      <w:r w:rsidRPr="000120F1">
        <w:rPr>
          <w:rFonts w:ascii="Helvetica Neue" w:hAnsi="Helvetica Neue" w:hint="eastAsia"/>
          <w:b/>
          <w:bCs/>
          <w:color w:val="333333"/>
          <w:shd w:val="clear" w:color="auto" w:fill="FFFFFF"/>
        </w:rPr>
        <w:t>销售激励从“收入抵减”改记为“运营费用”</w:t>
      </w:r>
      <w:r>
        <w:rPr>
          <w:rFonts w:ascii="Helvetica Neue" w:hAnsi="Helvetica Neue" w:hint="eastAsia"/>
          <w:color w:val="333333"/>
          <w:shd w:val="clear" w:color="auto" w:fill="FFFFFF"/>
        </w:rPr>
        <w:t>。</w:t>
      </w:r>
    </w:p>
    <w:p w14:paraId="00048337" w14:textId="1E399271" w:rsidR="009A2E70" w:rsidRDefault="00205A65" w:rsidP="00D32287">
      <w:pPr>
        <w:rPr>
          <w:rFonts w:ascii="Helvetica Neue" w:hAnsi="Helvetica Neue"/>
          <w:color w:val="333333"/>
          <w:shd w:val="clear" w:color="auto" w:fill="FFFFFF"/>
        </w:rPr>
      </w:pPr>
      <w:r>
        <w:rPr>
          <w:rFonts w:ascii="Helvetica Neue" w:hAnsi="Helvetica Neue"/>
          <w:color w:val="333333"/>
          <w:shd w:val="clear" w:color="auto" w:fill="FFFFFF"/>
        </w:rPr>
        <w:tab/>
      </w:r>
      <w:r>
        <w:rPr>
          <w:rFonts w:ascii="Helvetica Neue" w:hAnsi="Helvetica Neue" w:hint="eastAsia"/>
          <w:color w:val="333333"/>
          <w:shd w:val="clear" w:color="auto" w:fill="FFFFFF"/>
        </w:rPr>
        <w:t>旧模式：给经销商的销售激励，作为“交易价格抵减”，记作订阅收入的减项。</w:t>
      </w:r>
    </w:p>
    <w:p w14:paraId="07A3498D" w14:textId="116CC709" w:rsidR="00205A65" w:rsidRDefault="00205A65" w:rsidP="00D32287">
      <w:pPr>
        <w:rPr>
          <w:rFonts w:ascii="Helvetica Neue" w:hAnsi="Helvetica Neue"/>
          <w:color w:val="333333"/>
          <w:shd w:val="clear" w:color="auto" w:fill="FFFFFF"/>
        </w:rPr>
      </w:pPr>
      <w:r>
        <w:rPr>
          <w:rFonts w:ascii="Helvetica Neue" w:hAnsi="Helvetica Neue"/>
          <w:color w:val="333333"/>
          <w:shd w:val="clear" w:color="auto" w:fill="FFFFFF"/>
        </w:rPr>
        <w:lastRenderedPageBreak/>
        <w:tab/>
      </w:r>
      <w:r>
        <w:rPr>
          <w:rFonts w:ascii="Helvetica Neue" w:hAnsi="Helvetica Neue" w:hint="eastAsia"/>
          <w:color w:val="333333"/>
          <w:shd w:val="clear" w:color="auto" w:fill="FFFFFF"/>
        </w:rPr>
        <w:t>新模式：给</w:t>
      </w:r>
      <w:r>
        <w:rPr>
          <w:rFonts w:ascii="Helvetica Neue" w:hAnsi="Helvetica Neue" w:hint="eastAsia"/>
          <w:color w:val="333333"/>
          <w:shd w:val="clear" w:color="auto" w:fill="FFFFFF"/>
        </w:rPr>
        <w:t>solution provider</w:t>
      </w:r>
      <w:r>
        <w:rPr>
          <w:rFonts w:ascii="Helvetica Neue" w:hAnsi="Helvetica Neue" w:hint="eastAsia"/>
          <w:color w:val="333333"/>
          <w:shd w:val="clear" w:color="auto" w:fill="FFFFFF"/>
        </w:rPr>
        <w:t>的销售激励，改为运营费用，且大部分被资本化到资产负债表（</w:t>
      </w:r>
      <w:r w:rsidR="00EF2458" w:rsidRPr="00EF2458">
        <w:rPr>
          <w:rFonts w:ascii="Helvetica Neue" w:hAnsi="Helvetica Neue"/>
          <w:color w:val="333333"/>
          <w:shd w:val="clear" w:color="auto" w:fill="FFFFFF"/>
        </w:rPr>
        <w:t>"</w:t>
      </w:r>
      <w:r w:rsidR="00EF2458" w:rsidRPr="00EF2458">
        <w:rPr>
          <w:rFonts w:ascii="Helvetica Neue" w:hAnsi="Helvetica Neue"/>
          <w:color w:val="333333"/>
          <w:shd w:val="clear" w:color="auto" w:fill="FFFFFF"/>
        </w:rPr>
        <w:t>预付款项及其他流动资产</w:t>
      </w:r>
      <w:r w:rsidR="00EF2458" w:rsidRPr="00EF2458">
        <w:rPr>
          <w:rFonts w:ascii="Helvetica Neue" w:hAnsi="Helvetica Neue"/>
          <w:color w:val="333333"/>
          <w:shd w:val="clear" w:color="auto" w:fill="FFFFFF"/>
        </w:rPr>
        <w:t>" / "</w:t>
      </w:r>
      <w:r w:rsidR="00EF2458" w:rsidRPr="00EF2458">
        <w:rPr>
          <w:rFonts w:ascii="Helvetica Neue" w:hAnsi="Helvetica Neue"/>
          <w:color w:val="333333"/>
          <w:shd w:val="clear" w:color="auto" w:fill="FFFFFF"/>
        </w:rPr>
        <w:t>长期其他资产</w:t>
      </w:r>
      <w:r w:rsidR="00EF2458" w:rsidRPr="00EF2458">
        <w:rPr>
          <w:rFonts w:ascii="Helvetica Neue" w:hAnsi="Helvetica Neue"/>
          <w:color w:val="333333"/>
          <w:shd w:val="clear" w:color="auto" w:fill="FFFFFF"/>
        </w:rPr>
        <w:t>"</w:t>
      </w:r>
      <w:r>
        <w:rPr>
          <w:rFonts w:ascii="Helvetica Neue" w:hAnsi="Helvetica Neue" w:hint="eastAsia"/>
          <w:color w:val="333333"/>
          <w:shd w:val="clear" w:color="auto" w:fill="FFFFFF"/>
        </w:rPr>
        <w:t>），再分期摊销进“销售与市场费用”。</w:t>
      </w:r>
    </w:p>
    <w:p w14:paraId="1F965163" w14:textId="77777777" w:rsidR="009E0A94" w:rsidRPr="000B3412" w:rsidRDefault="009E0A94" w:rsidP="00F65F2F">
      <w:pPr>
        <w:rPr>
          <w:rFonts w:ascii="Helvetica Neue" w:hAnsi="Helvetica Neue"/>
          <w:color w:val="333333"/>
          <w:shd w:val="clear" w:color="auto" w:fill="FFFFFF"/>
        </w:rPr>
      </w:pPr>
    </w:p>
    <w:p w14:paraId="616C42E0" w14:textId="1D4A5325" w:rsidR="00F65F2F" w:rsidRDefault="00735C46">
      <w:r>
        <w:rPr>
          <w:rFonts w:hint="eastAsia"/>
        </w:rPr>
        <w:t>由此产生的几个效应：</w:t>
      </w:r>
    </w:p>
    <w:p w14:paraId="3C419971" w14:textId="782EFC88" w:rsidR="00735C46" w:rsidRDefault="00735C46" w:rsidP="00735C46">
      <w:pPr>
        <w:pStyle w:val="a9"/>
        <w:numPr>
          <w:ilvl w:val="0"/>
          <w:numId w:val="3"/>
        </w:numPr>
      </w:pPr>
      <w:r>
        <w:rPr>
          <w:rFonts w:hint="eastAsia"/>
        </w:rPr>
        <w:t>收入增速被抬高。</w:t>
      </w:r>
    </w:p>
    <w:p w14:paraId="487629D0" w14:textId="39B8AE0C" w:rsidR="00735C46" w:rsidRDefault="00735C46" w:rsidP="00735C46">
      <w:pPr>
        <w:pStyle w:val="a9"/>
        <w:numPr>
          <w:ilvl w:val="0"/>
          <w:numId w:val="3"/>
        </w:numPr>
      </w:pPr>
      <w:r>
        <w:rPr>
          <w:rFonts w:hint="eastAsia"/>
        </w:rPr>
        <w:t>营业利润、自由现金流基本无影响。</w:t>
      </w:r>
    </w:p>
    <w:p w14:paraId="19B7D43C" w14:textId="2554D555" w:rsidR="00735C46" w:rsidRDefault="00735C46" w:rsidP="00735C46">
      <w:pPr>
        <w:pStyle w:val="a9"/>
        <w:numPr>
          <w:ilvl w:val="0"/>
          <w:numId w:val="3"/>
        </w:numPr>
      </w:pPr>
      <w:r>
        <w:rPr>
          <w:rFonts w:hint="eastAsia"/>
        </w:rPr>
        <w:t>营业利润率被压低。</w:t>
      </w:r>
    </w:p>
    <w:p w14:paraId="7289CFD3" w14:textId="4B8B02C0" w:rsidR="00735C46" w:rsidRDefault="00735C46" w:rsidP="00735C46">
      <w:pPr>
        <w:pStyle w:val="a9"/>
        <w:numPr>
          <w:ilvl w:val="0"/>
          <w:numId w:val="3"/>
        </w:numPr>
      </w:pPr>
      <w:r>
        <w:rPr>
          <w:rFonts w:hint="eastAsia"/>
        </w:rPr>
        <w:t>净收入留存率被虚增。</w:t>
      </w:r>
    </w:p>
    <w:p w14:paraId="0CE00B56" w14:textId="6AE85776" w:rsidR="00735C46" w:rsidRDefault="00735C46" w:rsidP="00735C46">
      <w:pPr>
        <w:pStyle w:val="a9"/>
        <w:numPr>
          <w:ilvl w:val="0"/>
          <w:numId w:val="3"/>
        </w:numPr>
      </w:pPr>
      <w:r>
        <w:rPr>
          <w:rFonts w:hint="eastAsia"/>
        </w:rPr>
        <w:t>合同获取成本摊销暴增。</w:t>
      </w:r>
    </w:p>
    <w:p w14:paraId="19E4CC2B" w14:textId="77777777" w:rsidR="00F65F2F" w:rsidRPr="00F65F2F" w:rsidRDefault="00F65F2F"/>
    <w:p w14:paraId="45C66613" w14:textId="6EF680BA" w:rsidR="00324762" w:rsidRDefault="00735C46">
      <w:r>
        <w:rPr>
          <w:rFonts w:hint="eastAsia"/>
        </w:rPr>
        <w:t>年报中明确指出不会完全转向直接渠道，间接渠道不会消失（尤其是新兴地区和政府业务）。</w:t>
      </w:r>
      <w:r w:rsidR="00C925B8">
        <w:rPr>
          <w:rFonts w:hint="eastAsia"/>
        </w:rPr>
        <w:t>所以，</w:t>
      </w:r>
      <w:r w:rsidR="00C925B8" w:rsidRPr="00C925B8">
        <w:t>转型是把能直签的（在线、企业、Solution Provider 服务的市场）收回来，把必须走分销的（政府、新兴市场）留在外面。</w:t>
      </w:r>
    </w:p>
    <w:p w14:paraId="5A134A9D" w14:textId="77777777" w:rsidR="000A0470" w:rsidRDefault="000A0470"/>
    <w:p w14:paraId="7DEA91A3" w14:textId="77777777" w:rsidR="00C925B8" w:rsidRPr="00C753C6" w:rsidRDefault="00C925B8" w:rsidP="00C925B8">
      <w:pPr>
        <w:rPr>
          <w:rFonts w:ascii="Helvetica Neue" w:hAnsi="Helvetica Neue"/>
          <w:b/>
          <w:bCs/>
          <w:color w:val="333333"/>
          <w:shd w:val="clear" w:color="auto" w:fill="FFFFFF"/>
        </w:rPr>
      </w:pPr>
      <w:r w:rsidRPr="00C753C6">
        <w:rPr>
          <w:rFonts w:ascii="Helvetica Neue" w:hAnsi="Helvetica Neue" w:hint="eastAsia"/>
          <w:b/>
          <w:bCs/>
          <w:color w:val="333333"/>
          <w:shd w:val="clear" w:color="auto" w:fill="FFFFFF"/>
        </w:rPr>
        <w:t>直接渠道转型进展</w:t>
      </w:r>
    </w:p>
    <w:p w14:paraId="2AE21639" w14:textId="77777777" w:rsidR="00C925B8" w:rsidRDefault="00C925B8" w:rsidP="00C925B8">
      <w:pPr>
        <w:rPr>
          <w:rFonts w:ascii="Helvetica Neue" w:hAnsi="Helvetica Neue"/>
          <w:color w:val="333333"/>
          <w:shd w:val="clear" w:color="auto" w:fill="FFFFFF"/>
        </w:rPr>
      </w:pPr>
      <w:r w:rsidRPr="005C2E98">
        <w:rPr>
          <w:rFonts w:ascii="Helvetica Neue" w:hAnsi="Helvetica Neue"/>
          <w:noProof/>
          <w:color w:val="333333"/>
          <w:shd w:val="clear" w:color="auto" w:fill="FFFFFF"/>
        </w:rPr>
        <w:drawing>
          <wp:inline distT="0" distB="0" distL="0" distR="0" wp14:anchorId="0CCA49A6" wp14:editId="47781209">
            <wp:extent cx="6645910" cy="1522730"/>
            <wp:effectExtent l="0" t="0" r="0" b="1270"/>
            <wp:docPr id="12862087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208746" name=""/>
                    <pic:cNvPicPr/>
                  </pic:nvPicPr>
                  <pic:blipFill>
                    <a:blip r:embed="rId12"/>
                    <a:stretch>
                      <a:fillRect/>
                    </a:stretch>
                  </pic:blipFill>
                  <pic:spPr>
                    <a:xfrm>
                      <a:off x="0" y="0"/>
                      <a:ext cx="6645910" cy="1522730"/>
                    </a:xfrm>
                    <a:prstGeom prst="rect">
                      <a:avLst/>
                    </a:prstGeom>
                  </pic:spPr>
                </pic:pic>
              </a:graphicData>
            </a:graphic>
          </wp:inline>
        </w:drawing>
      </w:r>
    </w:p>
    <w:p w14:paraId="3E7B53DC" w14:textId="77777777" w:rsidR="00C925B8" w:rsidRPr="001B0A81" w:rsidRDefault="00C925B8" w:rsidP="00C925B8">
      <w:pPr>
        <w:ind w:firstLine="420"/>
        <w:rPr>
          <w:rFonts w:ascii="Helvetica Neue" w:hAnsi="Helvetica Neue"/>
          <w:color w:val="333333"/>
          <w:shd w:val="clear" w:color="auto" w:fill="FFFFFF"/>
        </w:rPr>
      </w:pPr>
      <w:r w:rsidRPr="001B0A81">
        <w:rPr>
          <w:rFonts w:ascii="Helvetica Neue" w:hAnsi="Helvetica Neue"/>
          <w:color w:val="333333"/>
          <w:shd w:val="clear" w:color="auto" w:fill="FFFFFF"/>
        </w:rPr>
        <w:t>FY2023</w:t>
      </w:r>
      <w:r w:rsidRPr="001B0A81">
        <w:rPr>
          <w:rFonts w:ascii="Helvetica Neue" w:hAnsi="Helvetica Neue"/>
          <w:color w:val="333333"/>
          <w:shd w:val="clear" w:color="auto" w:fill="FFFFFF"/>
        </w:rPr>
        <w:t>：与</w:t>
      </w:r>
      <w:r w:rsidRPr="001B0A81">
        <w:rPr>
          <w:rFonts w:ascii="Helvetica Neue" w:hAnsi="Helvetica Neue"/>
          <w:color w:val="333333"/>
          <w:shd w:val="clear" w:color="auto" w:fill="FFFFFF"/>
        </w:rPr>
        <w:t xml:space="preserve"> TD Synnex</w:t>
      </w:r>
      <w:r w:rsidRPr="001B0A81">
        <w:rPr>
          <w:rFonts w:ascii="Helvetica Neue" w:hAnsi="Helvetica Neue"/>
          <w:color w:val="333333"/>
          <w:shd w:val="clear" w:color="auto" w:fill="FFFFFF"/>
        </w:rPr>
        <w:t>、</w:t>
      </w:r>
      <w:r w:rsidRPr="001B0A81">
        <w:rPr>
          <w:rFonts w:ascii="Helvetica Neue" w:hAnsi="Helvetica Neue"/>
          <w:color w:val="333333"/>
          <w:shd w:val="clear" w:color="auto" w:fill="FFFFFF"/>
        </w:rPr>
        <w:t xml:space="preserve">Ingram Micro </w:t>
      </w:r>
      <w:r w:rsidRPr="001B0A81">
        <w:rPr>
          <w:rFonts w:ascii="Helvetica Neue" w:hAnsi="Helvetica Neue"/>
          <w:color w:val="333333"/>
          <w:shd w:val="clear" w:color="auto" w:fill="FFFFFF"/>
        </w:rPr>
        <w:t>签</w:t>
      </w:r>
      <w:r w:rsidRPr="001B0A81">
        <w:rPr>
          <w:rFonts w:ascii="Helvetica Neue" w:hAnsi="Helvetica Neue"/>
          <w:color w:val="333333"/>
          <w:shd w:val="clear" w:color="auto" w:fill="FFFFFF"/>
        </w:rPr>
        <w:t>"</w:t>
      </w:r>
      <w:r w:rsidRPr="001B0A81">
        <w:rPr>
          <w:rFonts w:ascii="Helvetica Neue" w:hAnsi="Helvetica Neue"/>
          <w:color w:val="333333"/>
          <w:shd w:val="clear" w:color="auto" w:fill="FFFFFF"/>
        </w:rPr>
        <w:t>过渡协议</w:t>
      </w:r>
      <w:r w:rsidRPr="001B0A81">
        <w:rPr>
          <w:rFonts w:ascii="Helvetica Neue" w:hAnsi="Helvetica Neue"/>
          <w:color w:val="333333"/>
          <w:shd w:val="clear" w:color="auto" w:fill="FFFFFF"/>
        </w:rPr>
        <w:t>"</w:t>
      </w:r>
      <w:r w:rsidRPr="001B0A81">
        <w:rPr>
          <w:rFonts w:ascii="Helvetica Neue" w:hAnsi="Helvetica Neue"/>
          <w:color w:val="333333"/>
          <w:shd w:val="clear" w:color="auto" w:fill="FFFFFF"/>
        </w:rPr>
        <w:t>（</w:t>
      </w:r>
      <w:r w:rsidRPr="001B0A81">
        <w:rPr>
          <w:rFonts w:ascii="Helvetica Neue" w:hAnsi="Helvetica Neue"/>
          <w:color w:val="333333"/>
          <w:shd w:val="clear" w:color="auto" w:fill="FFFFFF"/>
        </w:rPr>
        <w:t xml:space="preserve">1–2 </w:t>
      </w:r>
      <w:r w:rsidRPr="001B0A81">
        <w:rPr>
          <w:rFonts w:ascii="Helvetica Neue" w:hAnsi="Helvetica Neue"/>
          <w:color w:val="333333"/>
          <w:shd w:val="clear" w:color="auto" w:fill="FFFFFF"/>
        </w:rPr>
        <w:t>年），开始拆分销商；</w:t>
      </w:r>
    </w:p>
    <w:p w14:paraId="1C4CFFE2" w14:textId="77777777" w:rsidR="00C925B8" w:rsidRPr="001B0A81" w:rsidRDefault="00C925B8" w:rsidP="00C925B8">
      <w:pPr>
        <w:ind w:firstLine="420"/>
        <w:rPr>
          <w:rFonts w:ascii="Helvetica Neue" w:hAnsi="Helvetica Neue"/>
          <w:color w:val="333333"/>
          <w:shd w:val="clear" w:color="auto" w:fill="FFFFFF"/>
        </w:rPr>
      </w:pPr>
      <w:r w:rsidRPr="001B0A81">
        <w:rPr>
          <w:rFonts w:ascii="Helvetica Neue" w:hAnsi="Helvetica Neue"/>
          <w:color w:val="333333"/>
          <w:shd w:val="clear" w:color="auto" w:fill="FFFFFF"/>
        </w:rPr>
        <w:t>FY2024</w:t>
      </w:r>
      <w:r w:rsidRPr="001B0A81">
        <w:rPr>
          <w:rFonts w:ascii="Helvetica Neue" w:hAnsi="Helvetica Neue"/>
          <w:color w:val="333333"/>
          <w:shd w:val="clear" w:color="auto" w:fill="FFFFFF"/>
        </w:rPr>
        <w:t>：新交易模型首次上线（先拿</w:t>
      </w:r>
      <w:r w:rsidRPr="001B0A81">
        <w:rPr>
          <w:rFonts w:ascii="Helvetica Neue" w:hAnsi="Helvetica Neue"/>
          <w:color w:val="333333"/>
          <w:shd w:val="clear" w:color="auto" w:fill="FFFFFF"/>
        </w:rPr>
        <w:t xml:space="preserve"> Flex </w:t>
      </w:r>
      <w:r w:rsidRPr="001B0A81">
        <w:rPr>
          <w:rFonts w:ascii="Helvetica Neue" w:hAnsi="Helvetica Neue"/>
          <w:color w:val="333333"/>
          <w:shd w:val="clear" w:color="auto" w:fill="FFFFFF"/>
        </w:rPr>
        <w:t>试水北美，澳大利亚推订阅产品）；</w:t>
      </w:r>
    </w:p>
    <w:p w14:paraId="5101363A" w14:textId="77777777" w:rsidR="00C925B8" w:rsidRPr="001B0A81" w:rsidRDefault="00C925B8" w:rsidP="00C925B8">
      <w:pPr>
        <w:ind w:firstLine="420"/>
        <w:rPr>
          <w:rFonts w:ascii="Helvetica Neue" w:hAnsi="Helvetica Neue"/>
          <w:color w:val="333333"/>
          <w:shd w:val="clear" w:color="auto" w:fill="FFFFFF"/>
        </w:rPr>
      </w:pPr>
      <w:r w:rsidRPr="001B0A81">
        <w:rPr>
          <w:rFonts w:ascii="Helvetica Neue" w:hAnsi="Helvetica Neue"/>
          <w:color w:val="333333"/>
          <w:shd w:val="clear" w:color="auto" w:fill="FFFFFF"/>
        </w:rPr>
        <w:t>FY2025</w:t>
      </w:r>
      <w:r w:rsidRPr="001B0A81">
        <w:rPr>
          <w:rFonts w:ascii="Helvetica Neue" w:hAnsi="Helvetica Neue"/>
          <w:color w:val="333333"/>
          <w:shd w:val="clear" w:color="auto" w:fill="FFFFFF"/>
        </w:rPr>
        <w:t>：计划把主要市场间接业务过渡到新交易模型；</w:t>
      </w:r>
    </w:p>
    <w:p w14:paraId="368A2098" w14:textId="77777777" w:rsidR="00C925B8" w:rsidRPr="001B0A81" w:rsidRDefault="00C925B8" w:rsidP="00C925B8">
      <w:pPr>
        <w:ind w:firstLine="420"/>
        <w:rPr>
          <w:rFonts w:ascii="Helvetica Neue" w:hAnsi="Helvetica Neue"/>
          <w:color w:val="333333"/>
          <w:shd w:val="clear" w:color="auto" w:fill="FFFFFF"/>
        </w:rPr>
      </w:pPr>
      <w:r w:rsidRPr="001B0A81">
        <w:rPr>
          <w:rFonts w:ascii="Helvetica Neue" w:hAnsi="Helvetica Neue"/>
          <w:color w:val="333333"/>
          <w:shd w:val="clear" w:color="auto" w:fill="FFFFFF"/>
        </w:rPr>
        <w:t>FY2026</w:t>
      </w:r>
      <w:r w:rsidRPr="001B0A81">
        <w:rPr>
          <w:rFonts w:ascii="Helvetica Neue" w:hAnsi="Helvetica Neue"/>
          <w:color w:val="333333"/>
          <w:shd w:val="clear" w:color="auto" w:fill="FFFFFF"/>
        </w:rPr>
        <w:t>：直接占比跳升至</w:t>
      </w:r>
      <w:r w:rsidRPr="001B0A81">
        <w:rPr>
          <w:rFonts w:ascii="Helvetica Neue" w:hAnsi="Helvetica Neue"/>
          <w:color w:val="333333"/>
          <w:shd w:val="clear" w:color="auto" w:fill="FFFFFF"/>
        </w:rPr>
        <w:t xml:space="preserve"> 63%</w:t>
      </w:r>
      <w:r w:rsidRPr="001B0A81">
        <w:rPr>
          <w:rFonts w:ascii="Helvetica Neue" w:hAnsi="Helvetica Neue"/>
          <w:color w:val="333333"/>
          <w:shd w:val="clear" w:color="auto" w:fill="FFFFFF"/>
        </w:rPr>
        <w:t>，重组计划配合收尾；</w:t>
      </w:r>
    </w:p>
    <w:p w14:paraId="6C1132AB" w14:textId="77777777" w:rsidR="00C925B8" w:rsidRDefault="00C925B8" w:rsidP="00C925B8">
      <w:pPr>
        <w:ind w:firstLine="420"/>
        <w:rPr>
          <w:rFonts w:ascii="Helvetica Neue" w:hAnsi="Helvetica Neue"/>
          <w:color w:val="333333"/>
          <w:shd w:val="clear" w:color="auto" w:fill="FFFFFF"/>
        </w:rPr>
      </w:pPr>
      <w:r w:rsidRPr="001B0A81">
        <w:rPr>
          <w:rFonts w:ascii="Helvetica Neue" w:hAnsi="Helvetica Neue"/>
          <w:color w:val="333333"/>
          <w:shd w:val="clear" w:color="auto" w:fill="FFFFFF"/>
        </w:rPr>
        <w:t>FY2027</w:t>
      </w:r>
      <w:r w:rsidRPr="001B0A81">
        <w:rPr>
          <w:rFonts w:ascii="Helvetica Neue" w:hAnsi="Helvetica Neue"/>
          <w:color w:val="333333"/>
          <w:shd w:val="clear" w:color="auto" w:fill="FFFFFF"/>
        </w:rPr>
        <w:t>：预计完成。</w:t>
      </w:r>
    </w:p>
    <w:p w14:paraId="6AD1C6F3" w14:textId="77777777" w:rsidR="00C925B8" w:rsidRDefault="00C925B8" w:rsidP="00C925B8">
      <w:pPr>
        <w:rPr>
          <w:rFonts w:ascii="Helvetica Neue" w:hAnsi="Helvetica Neue"/>
          <w:color w:val="333333"/>
          <w:shd w:val="clear" w:color="auto" w:fill="FFFFFF"/>
        </w:rPr>
      </w:pPr>
      <w:r>
        <w:rPr>
          <w:rFonts w:ascii="Helvetica Neue" w:hAnsi="Helvetica Neue" w:hint="eastAsia"/>
          <w:color w:val="333333"/>
          <w:shd w:val="clear" w:color="auto" w:fill="FFFFFF"/>
        </w:rPr>
        <w:t>截至目前，直接渠道收入增长里，大头是传统订阅产品从间接转到直接带来的重分类，不是</w:t>
      </w:r>
      <w:r>
        <w:rPr>
          <w:rFonts w:ascii="Helvetica Neue" w:hAnsi="Helvetica Neue" w:hint="eastAsia"/>
          <w:color w:val="333333"/>
          <w:shd w:val="clear" w:color="auto" w:fill="FFFFFF"/>
        </w:rPr>
        <w:t>Flex</w:t>
      </w:r>
      <w:r>
        <w:rPr>
          <w:rFonts w:ascii="Helvetica Neue" w:hAnsi="Helvetica Neue" w:hint="eastAsia"/>
          <w:color w:val="333333"/>
          <w:shd w:val="clear" w:color="auto" w:fill="FFFFFF"/>
        </w:rPr>
        <w:t>用量在涨。</w:t>
      </w:r>
      <w:r>
        <w:rPr>
          <w:rFonts w:ascii="Helvetica Neue" w:hAnsi="Helvetica Neue" w:hint="eastAsia"/>
          <w:color w:val="333333"/>
          <w:shd w:val="clear" w:color="auto" w:fill="FFFFFF"/>
        </w:rPr>
        <w:t>Flex</w:t>
      </w:r>
      <w:r>
        <w:rPr>
          <w:rFonts w:ascii="Helvetica Neue" w:hAnsi="Helvetica Neue" w:hint="eastAsia"/>
          <w:color w:val="333333"/>
          <w:shd w:val="clear" w:color="auto" w:fill="FFFFFF"/>
        </w:rPr>
        <w:t>的消费收入至今未单独披露，包含在“订阅收入”中。</w:t>
      </w:r>
    </w:p>
    <w:p w14:paraId="6F6D5E36" w14:textId="00DDA4C4" w:rsidR="000A0470" w:rsidRDefault="00C925B8">
      <w:r>
        <w:rPr>
          <w:rFonts w:hint="eastAsia"/>
        </w:rPr>
        <w:t>FY2026的18%总净收入增速部分受益于会计效应（重分类是一次性的），这个顺风在FY2027年之后会衰减。</w:t>
      </w:r>
    </w:p>
    <w:p w14:paraId="704535E1" w14:textId="77777777" w:rsidR="000A0470" w:rsidRDefault="000A0470"/>
    <w:p w14:paraId="020CC8EF" w14:textId="415EA598" w:rsidR="00620896" w:rsidRPr="00C925B8" w:rsidRDefault="00620896" w:rsidP="00620896">
      <w:pPr>
        <w:pStyle w:val="3"/>
      </w:pPr>
      <w:r>
        <w:rPr>
          <w:rFonts w:hint="eastAsia"/>
        </w:rPr>
        <w:t>战略进度</w:t>
      </w:r>
    </w:p>
    <w:p w14:paraId="53D7E72E" w14:textId="31658C1A" w:rsidR="00216DCE" w:rsidRPr="005E1E15" w:rsidRDefault="00216DCE">
      <w:pPr>
        <w:rPr>
          <w:b/>
          <w:bCs/>
        </w:rPr>
      </w:pPr>
      <w:r w:rsidRPr="005E1E15">
        <w:rPr>
          <w:rFonts w:hint="eastAsia"/>
          <w:b/>
          <w:bCs/>
        </w:rPr>
        <w:t>可验证的进展</w:t>
      </w:r>
    </w:p>
    <w:p w14:paraId="7D0A4E5F" w14:textId="3D111824" w:rsidR="00341537" w:rsidRDefault="00AB75F0" w:rsidP="00216DCE">
      <w:pPr>
        <w:ind w:firstLine="420"/>
      </w:pPr>
      <w:r>
        <w:rPr>
          <w:rFonts w:hint="eastAsia"/>
        </w:rPr>
        <w:lastRenderedPageBreak/>
        <w:t>稳定性：</w:t>
      </w:r>
      <w:r w:rsidRPr="00AB75F0">
        <w:t>FY20</w:t>
      </w:r>
      <w:r w:rsidRPr="00AB75F0">
        <w:rPr>
          <w:rFonts w:hint="eastAsia"/>
        </w:rPr>
        <w:t>2</w:t>
      </w:r>
      <w:r w:rsidRPr="00AB75F0">
        <w:t>4起连续三年逐字未变</w:t>
      </w:r>
    </w:p>
    <w:p w14:paraId="4B801AA3" w14:textId="72631BCF" w:rsidR="00AB75F0" w:rsidRPr="00A7115A" w:rsidRDefault="00A7115A" w:rsidP="00216DCE">
      <w:pPr>
        <w:ind w:firstLine="420"/>
      </w:pPr>
      <w:r>
        <w:rPr>
          <w:rFonts w:hint="eastAsia"/>
        </w:rPr>
        <w:t>投入：</w:t>
      </w:r>
      <w:r w:rsidRPr="00A7115A">
        <w:t>两个重组计划明写"向 cloud / platform / AI 再配置"</w:t>
      </w:r>
    </w:p>
    <w:p w14:paraId="5291D75D" w14:textId="5569351A" w:rsidR="00AB75F0" w:rsidRDefault="006A3C50" w:rsidP="00216DCE">
      <w:pPr>
        <w:ind w:firstLine="420"/>
      </w:pPr>
      <w:r>
        <w:rPr>
          <w:rFonts w:hint="eastAsia"/>
        </w:rPr>
        <w:t>Fusion采用：用户获取、ACV、营收、多席位采购均在增长，AI功能前置是增长顺风</w:t>
      </w:r>
      <w:r w:rsidR="008A5843">
        <w:rPr>
          <w:rFonts w:hint="eastAsia"/>
        </w:rPr>
        <w:t>（FY27Q2）</w:t>
      </w:r>
      <w:r>
        <w:rPr>
          <w:rFonts w:hint="eastAsia"/>
        </w:rPr>
        <w:t>。</w:t>
      </w:r>
    </w:p>
    <w:p w14:paraId="56B64283" w14:textId="646E077B" w:rsidR="00AB75F0" w:rsidRDefault="00A7115A" w:rsidP="00216DCE">
      <w:pPr>
        <w:ind w:firstLine="420"/>
      </w:pPr>
      <w:r>
        <w:rPr>
          <w:rFonts w:hint="eastAsia"/>
        </w:rPr>
        <w:t>API收费：管理层明确“部分已开始收费，方向不会变”。</w:t>
      </w:r>
    </w:p>
    <w:p w14:paraId="6BF8681A" w14:textId="3BD359CD" w:rsidR="00A7115A" w:rsidRPr="00A7115A" w:rsidRDefault="00A7115A" w:rsidP="00216DCE">
      <w:pPr>
        <w:ind w:firstLine="420"/>
      </w:pPr>
      <w:r>
        <w:rPr>
          <w:rFonts w:hint="eastAsia"/>
        </w:rPr>
        <w:t>AI变现框架：任务级自动化已内嵌并成为Fusion加速器。</w:t>
      </w:r>
    </w:p>
    <w:p w14:paraId="2B671E78" w14:textId="22AAD51A" w:rsidR="00AB75F0" w:rsidRPr="005E1E15" w:rsidRDefault="0087793C">
      <w:pPr>
        <w:rPr>
          <w:b/>
          <w:bCs/>
        </w:rPr>
      </w:pPr>
      <w:r w:rsidRPr="005E1E15">
        <w:rPr>
          <w:rFonts w:hint="eastAsia"/>
          <w:b/>
          <w:bCs/>
        </w:rPr>
        <w:t>待验证的进展</w:t>
      </w:r>
    </w:p>
    <w:p w14:paraId="1D78FE28" w14:textId="5B9B30C0" w:rsidR="0087793C" w:rsidRDefault="0087793C">
      <w:r>
        <w:tab/>
      </w:r>
      <w:r w:rsidR="00EA70F3">
        <w:rPr>
          <w:rFonts w:hint="eastAsia"/>
        </w:rPr>
        <w:t>管理层称</w:t>
      </w:r>
      <w:r w:rsidR="00EA70F3" w:rsidRPr="00EA70F3">
        <w:t>变现框架的后两步（工作流自动化、系统级自动化）</w:t>
      </w:r>
      <w:r w:rsidR="00EA70F3">
        <w:rPr>
          <w:rFonts w:hint="eastAsia"/>
        </w:rPr>
        <w:t>将随时间推移而达成。</w:t>
      </w:r>
    </w:p>
    <w:p w14:paraId="7789557D" w14:textId="250CD213" w:rsidR="00EA70F3" w:rsidRDefault="00EA70F3">
      <w:r>
        <w:tab/>
      </w:r>
      <w:r w:rsidRPr="00EA70F3">
        <w:t>消费性收入"将通过 Flex 体现"，但没有给过任何金额或占比</w:t>
      </w:r>
      <w:r>
        <w:rPr>
          <w:rFonts w:hint="eastAsia"/>
        </w:rPr>
        <w:t>，且Flex在10K里篇幅极少。</w:t>
      </w:r>
    </w:p>
    <w:p w14:paraId="79C1E6BA" w14:textId="2A8BC561" w:rsidR="00341537" w:rsidRDefault="00341537" w:rsidP="003D3502">
      <w:pPr>
        <w:tabs>
          <w:tab w:val="left" w:pos="1000"/>
        </w:tabs>
      </w:pPr>
    </w:p>
    <w:p w14:paraId="17F1D44B" w14:textId="3D281D4C" w:rsidR="003D3502" w:rsidRPr="005E1E15" w:rsidRDefault="003D3502" w:rsidP="003D3502">
      <w:pPr>
        <w:tabs>
          <w:tab w:val="left" w:pos="1000"/>
        </w:tabs>
        <w:rPr>
          <w:b/>
          <w:bCs/>
        </w:rPr>
      </w:pPr>
      <w:r w:rsidRPr="005E1E15">
        <w:rPr>
          <w:rFonts w:hint="eastAsia"/>
          <w:b/>
          <w:bCs/>
        </w:rPr>
        <w:t>锚点</w:t>
      </w:r>
    </w:p>
    <w:p w14:paraId="7B8420B6" w14:textId="07EF5923" w:rsidR="003D3502" w:rsidRDefault="003E0A1D" w:rsidP="0097441E">
      <w:pPr>
        <w:pStyle w:val="a9"/>
        <w:numPr>
          <w:ilvl w:val="0"/>
          <w:numId w:val="1"/>
        </w:numPr>
        <w:tabs>
          <w:tab w:val="left" w:pos="590"/>
        </w:tabs>
      </w:pPr>
      <w:r w:rsidRPr="003E0A1D">
        <w:t>"从席位到用量"</w:t>
      </w:r>
      <w:r>
        <w:rPr>
          <w:rFonts w:hint="eastAsia"/>
        </w:rPr>
        <w:t>的</w:t>
      </w:r>
      <w:r w:rsidR="005E1E15" w:rsidRPr="005E1E15">
        <w:t>收入锚点迁移是否</w:t>
      </w:r>
      <w:r>
        <w:rPr>
          <w:rFonts w:hint="eastAsia"/>
        </w:rPr>
        <w:t>真实</w:t>
      </w:r>
      <w:r w:rsidR="005E1E15" w:rsidRPr="005E1E15">
        <w:t>发生</w:t>
      </w:r>
      <w:r w:rsidR="005024C8">
        <w:rPr>
          <w:rFonts w:hint="eastAsia"/>
        </w:rPr>
        <w:t>。</w:t>
      </w:r>
      <w:r w:rsidRPr="003E0A1D">
        <w:t>目前没有任何公开数字证明"按用量收费"的收入占比在上升。</w:t>
      </w:r>
    </w:p>
    <w:p w14:paraId="6E47A84C" w14:textId="6BB1C8B3" w:rsidR="003E0A1D" w:rsidRPr="002724D5" w:rsidRDefault="002724D5" w:rsidP="0097441E">
      <w:pPr>
        <w:pStyle w:val="a9"/>
        <w:numPr>
          <w:ilvl w:val="0"/>
          <w:numId w:val="1"/>
        </w:numPr>
        <w:tabs>
          <w:tab w:val="left" w:pos="1000"/>
        </w:tabs>
      </w:pPr>
      <w:r>
        <w:rPr>
          <w:rFonts w:hint="eastAsia"/>
        </w:rPr>
        <w:t>客户对“按机器/AI用量收费”的接受度</w:t>
      </w:r>
      <w:r w:rsidR="005024C8">
        <w:rPr>
          <w:rFonts w:hint="eastAsia"/>
        </w:rPr>
        <w:t>。</w:t>
      </w:r>
      <w:r w:rsidR="00274D81">
        <w:rPr>
          <w:rFonts w:hint="eastAsia"/>
        </w:rPr>
        <w:t>按用量收费不是顺理成章的，客户已经在议价。这种新收费模式短期内可能会压缩毛利率并带来客户摩擦。</w:t>
      </w:r>
    </w:p>
    <w:p w14:paraId="05763102" w14:textId="5BB34F27" w:rsidR="003D3502" w:rsidRDefault="0097441E" w:rsidP="0097441E">
      <w:pPr>
        <w:pStyle w:val="a9"/>
        <w:numPr>
          <w:ilvl w:val="0"/>
          <w:numId w:val="1"/>
        </w:numPr>
        <w:tabs>
          <w:tab w:val="left" w:pos="1000"/>
        </w:tabs>
      </w:pPr>
      <w:r>
        <w:rPr>
          <w:rFonts w:hint="eastAsia"/>
        </w:rPr>
        <w:t>AI的影响是增强还是侵蚀。目前Fusion多席位仍在增长，说明侵蚀</w:t>
      </w:r>
      <w:r w:rsidR="00CD5CBC">
        <w:rPr>
          <w:rFonts w:hint="eastAsia"/>
        </w:rPr>
        <w:t>未</w:t>
      </w:r>
      <w:r>
        <w:rPr>
          <w:rFonts w:hint="eastAsia"/>
        </w:rPr>
        <w:t>在数据上体现。</w:t>
      </w:r>
    </w:p>
    <w:p w14:paraId="78C6EA0D" w14:textId="77777777" w:rsidR="003D3502" w:rsidRDefault="003D3502" w:rsidP="003D3502">
      <w:pPr>
        <w:tabs>
          <w:tab w:val="left" w:pos="1000"/>
        </w:tabs>
      </w:pPr>
    </w:p>
    <w:p w14:paraId="1F8E6AD5" w14:textId="5949AB54" w:rsidR="003E47DE" w:rsidRPr="003F6B86" w:rsidRDefault="003F6B86" w:rsidP="003F6B86">
      <w:pPr>
        <w:pStyle w:val="2"/>
      </w:pPr>
      <w:r>
        <w:rPr>
          <w:rFonts w:hint="eastAsia"/>
        </w:rPr>
        <w:t>业务经营分析</w:t>
      </w:r>
    </w:p>
    <w:p w14:paraId="1F164ED5" w14:textId="5905FB86" w:rsidR="00537844" w:rsidRDefault="00537844" w:rsidP="00537844">
      <w:r>
        <w:rPr>
          <w:shd w:val="clear" w:color="auto" w:fill="FFFFFF"/>
        </w:rPr>
        <w:t>Autodesk 在年报中仅有一个经营与报告分部，即公司整体。</w:t>
      </w:r>
    </w:p>
    <w:p w14:paraId="725BD0A7" w14:textId="13028AFA" w:rsidR="003E47DE" w:rsidRDefault="00D77F64">
      <w:r w:rsidRPr="00D77F64">
        <w:rPr>
          <w:noProof/>
        </w:rPr>
        <w:drawing>
          <wp:inline distT="0" distB="0" distL="0" distR="0" wp14:anchorId="639A434E" wp14:editId="1AF50A98">
            <wp:extent cx="6645910" cy="2600960"/>
            <wp:effectExtent l="0" t="0" r="0" b="2540"/>
            <wp:docPr id="7928603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860320" name=""/>
                    <pic:cNvPicPr/>
                  </pic:nvPicPr>
                  <pic:blipFill>
                    <a:blip r:embed="rId13"/>
                    <a:stretch>
                      <a:fillRect/>
                    </a:stretch>
                  </pic:blipFill>
                  <pic:spPr>
                    <a:xfrm>
                      <a:off x="0" y="0"/>
                      <a:ext cx="6645910" cy="2600960"/>
                    </a:xfrm>
                    <a:prstGeom prst="rect">
                      <a:avLst/>
                    </a:prstGeom>
                  </pic:spPr>
                </pic:pic>
              </a:graphicData>
            </a:graphic>
          </wp:inline>
        </w:drawing>
      </w:r>
    </w:p>
    <w:p w14:paraId="6068F0AB" w14:textId="3FEB1015" w:rsidR="003E47DE" w:rsidRDefault="00471118">
      <w:r w:rsidRPr="00471118">
        <w:t>Autodesk 的收入结构已经高度订阅化。</w:t>
      </w:r>
      <w:r>
        <w:rPr>
          <w:rFonts w:ascii="Helvetica Neue" w:hAnsi="Helvetica Neue"/>
          <w:color w:val="333333"/>
          <w:shd w:val="clear" w:color="auto" w:fill="FFFFFF"/>
        </w:rPr>
        <w:t>FY2026</w:t>
      </w:r>
      <w:r>
        <w:rPr>
          <w:rFonts w:ascii="Helvetica Neue" w:hAnsi="Helvetica Neue"/>
          <w:color w:val="333333"/>
          <w:shd w:val="clear" w:color="auto" w:fill="FFFFFF"/>
        </w:rPr>
        <w:t>总净收入同比增速</w:t>
      </w:r>
      <w:r>
        <w:rPr>
          <w:rFonts w:ascii="Helvetica Neue" w:hAnsi="Helvetica Neue"/>
          <w:color w:val="333333"/>
          <w:shd w:val="clear" w:color="auto" w:fill="FFFFFF"/>
        </w:rPr>
        <w:t>17.5%</w:t>
      </w:r>
      <w:r>
        <w:rPr>
          <w:rFonts w:ascii="Helvetica Neue" w:hAnsi="Helvetica Neue"/>
          <w:color w:val="333333"/>
          <w:shd w:val="clear" w:color="auto" w:fill="FFFFFF"/>
        </w:rPr>
        <w:t>，部分归因于现有客户群中的订阅扩展，同时新交易模式影响了收入确认与费用归类，使部分历史收入、销售激励和渠道收入在报表中发生重新计量。</w:t>
      </w:r>
    </w:p>
    <w:p w14:paraId="6E423FA9" w14:textId="77777777" w:rsidR="003E47DE" w:rsidRDefault="003E47DE"/>
    <w:p w14:paraId="20EE9F87" w14:textId="5070D209" w:rsidR="003E47DE" w:rsidRDefault="00037328">
      <w:r w:rsidRPr="00037328">
        <w:rPr>
          <w:noProof/>
        </w:rPr>
        <w:lastRenderedPageBreak/>
        <w:drawing>
          <wp:inline distT="0" distB="0" distL="0" distR="0" wp14:anchorId="1336952A" wp14:editId="17F03CE6">
            <wp:extent cx="6645910" cy="2497455"/>
            <wp:effectExtent l="0" t="0" r="0" b="4445"/>
            <wp:docPr id="20461939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193976" name=""/>
                    <pic:cNvPicPr/>
                  </pic:nvPicPr>
                  <pic:blipFill>
                    <a:blip r:embed="rId14"/>
                    <a:stretch>
                      <a:fillRect/>
                    </a:stretch>
                  </pic:blipFill>
                  <pic:spPr>
                    <a:xfrm>
                      <a:off x="0" y="0"/>
                      <a:ext cx="6645910" cy="2497455"/>
                    </a:xfrm>
                    <a:prstGeom prst="rect">
                      <a:avLst/>
                    </a:prstGeom>
                  </pic:spPr>
                </pic:pic>
              </a:graphicData>
            </a:graphic>
          </wp:inline>
        </w:drawing>
      </w:r>
    </w:p>
    <w:p w14:paraId="03C9AEBB" w14:textId="17BF635A" w:rsidR="003E47DE" w:rsidRDefault="00547FEE">
      <w:r>
        <w:rPr>
          <w:rFonts w:ascii="Helvetica Neue" w:hAnsi="Helvetica Neue"/>
          <w:color w:val="333333"/>
          <w:shd w:val="clear" w:color="auto" w:fill="FFFFFF"/>
        </w:rPr>
        <w:t>产品家族合计与总净收入的差异主要来自分类归集和四舍五入；</w:t>
      </w:r>
      <w:r>
        <w:rPr>
          <w:rFonts w:ascii="Helvetica Neue" w:hAnsi="Helvetica Neue"/>
          <w:color w:val="333333"/>
          <w:shd w:val="clear" w:color="auto" w:fill="FFFFFF"/>
        </w:rPr>
        <w:t xml:space="preserve">FY2023 </w:t>
      </w:r>
      <w:r>
        <w:rPr>
          <w:rFonts w:ascii="Helvetica Neue" w:hAnsi="Helvetica Neue"/>
          <w:color w:val="333333"/>
          <w:shd w:val="clear" w:color="auto" w:fill="FFFFFF"/>
        </w:rPr>
        <w:t>曾发生不影响总收入的</w:t>
      </w:r>
      <w:r>
        <w:rPr>
          <w:rFonts w:ascii="Helvetica Neue" w:hAnsi="Helvetica Neue"/>
          <w:color w:val="333333"/>
          <w:shd w:val="clear" w:color="auto" w:fill="FFFFFF"/>
        </w:rPr>
        <w:t xml:space="preserve"> AEC </w:t>
      </w:r>
      <w:r>
        <w:rPr>
          <w:rFonts w:ascii="Helvetica Neue" w:hAnsi="Helvetica Neue"/>
          <w:color w:val="333333"/>
          <w:shd w:val="clear" w:color="auto" w:fill="FFFFFF"/>
        </w:rPr>
        <w:t>与</w:t>
      </w:r>
      <w:r>
        <w:rPr>
          <w:rFonts w:ascii="Helvetica Neue" w:hAnsi="Helvetica Neue"/>
          <w:color w:val="333333"/>
          <w:shd w:val="clear" w:color="auto" w:fill="FFFFFF"/>
        </w:rPr>
        <w:t xml:space="preserve"> AutoCAD </w:t>
      </w:r>
      <w:r>
        <w:rPr>
          <w:rFonts w:ascii="Helvetica Neue" w:hAnsi="Helvetica Neue"/>
          <w:color w:val="333333"/>
          <w:shd w:val="clear" w:color="auto" w:fill="FFFFFF"/>
        </w:rPr>
        <w:t>分类重分类。</w:t>
      </w:r>
    </w:p>
    <w:p w14:paraId="3452EAA5" w14:textId="7C991767" w:rsidR="003E47DE" w:rsidRDefault="00266E62">
      <w:r>
        <w:rPr>
          <w:rFonts w:ascii="Helvetica Neue" w:hAnsi="Helvetica Neue"/>
          <w:color w:val="333333"/>
          <w:shd w:val="clear" w:color="auto" w:fill="FFFFFF"/>
        </w:rPr>
        <w:t>AEC/AECO</w:t>
      </w:r>
      <w:r w:rsidR="006633F6">
        <w:rPr>
          <w:rFonts w:ascii="Helvetica Neue" w:hAnsi="Helvetica Neue" w:hint="eastAsia"/>
          <w:color w:val="333333"/>
          <w:shd w:val="clear" w:color="auto" w:fill="FFFFFF"/>
        </w:rPr>
        <w:t>（建筑行业）</w:t>
      </w:r>
      <w:r>
        <w:rPr>
          <w:rFonts w:ascii="Helvetica Neue" w:hAnsi="Helvetica Neue"/>
          <w:color w:val="333333"/>
          <w:shd w:val="clear" w:color="auto" w:fill="FFFFFF"/>
        </w:rPr>
        <w:t>是</w:t>
      </w:r>
      <w:r>
        <w:rPr>
          <w:rFonts w:ascii="Helvetica Neue" w:hAnsi="Helvetica Neue"/>
          <w:color w:val="333333"/>
          <w:shd w:val="clear" w:color="auto" w:fill="FFFFFF"/>
        </w:rPr>
        <w:t xml:space="preserve">Autodesk </w:t>
      </w:r>
      <w:r>
        <w:rPr>
          <w:rFonts w:ascii="Helvetica Neue" w:hAnsi="Helvetica Neue"/>
          <w:color w:val="333333"/>
          <w:shd w:val="clear" w:color="auto" w:fill="FFFFFF"/>
        </w:rPr>
        <w:t>规模最大、增速最高的产品家族</w:t>
      </w:r>
      <w:r>
        <w:rPr>
          <w:rFonts w:ascii="Helvetica Neue" w:hAnsi="Helvetica Neue" w:hint="eastAsia"/>
          <w:color w:val="333333"/>
          <w:shd w:val="clear" w:color="auto" w:fill="FFFFFF"/>
        </w:rPr>
        <w:t>，</w:t>
      </w:r>
      <w:r>
        <w:rPr>
          <w:rFonts w:ascii="Helvetica Neue" w:hAnsi="Helvetica Neue" w:hint="eastAsia"/>
          <w:color w:val="333333"/>
          <w:shd w:val="clear" w:color="auto" w:fill="FFFFFF"/>
        </w:rPr>
        <w:t>FY2026</w:t>
      </w:r>
      <w:r>
        <w:rPr>
          <w:rFonts w:ascii="Helvetica Neue" w:hAnsi="Helvetica Neue" w:hint="eastAsia"/>
          <w:color w:val="333333"/>
          <w:shd w:val="clear" w:color="auto" w:fill="FFFFFF"/>
        </w:rPr>
        <w:t>收入为</w:t>
      </w:r>
      <w:r>
        <w:rPr>
          <w:rFonts w:ascii="Helvetica Neue" w:hAnsi="Helvetica Neue" w:hint="eastAsia"/>
          <w:color w:val="333333"/>
          <w:shd w:val="clear" w:color="auto" w:fill="FFFFFF"/>
        </w:rPr>
        <w:t>35.8</w:t>
      </w:r>
      <w:r>
        <w:rPr>
          <w:rFonts w:ascii="Helvetica Neue" w:hAnsi="Helvetica Neue" w:hint="eastAsia"/>
          <w:color w:val="333333"/>
          <w:shd w:val="clear" w:color="auto" w:fill="FFFFFF"/>
        </w:rPr>
        <w:t>亿美元。占总净收入的</w:t>
      </w:r>
      <w:r>
        <w:rPr>
          <w:rFonts w:ascii="Helvetica Neue" w:hAnsi="Helvetica Neue" w:hint="eastAsia"/>
          <w:color w:val="333333"/>
          <w:shd w:val="clear" w:color="auto" w:fill="FFFFFF"/>
        </w:rPr>
        <w:t>50%</w:t>
      </w:r>
      <w:r>
        <w:rPr>
          <w:rFonts w:ascii="Helvetica Neue" w:hAnsi="Helvetica Neue"/>
          <w:color w:val="333333"/>
          <w:shd w:val="clear" w:color="auto" w:fill="FFFFFF"/>
        </w:rPr>
        <w:t>。公司将其增长归因于</w:t>
      </w:r>
      <w:r>
        <w:rPr>
          <w:rFonts w:ascii="Helvetica Neue" w:hAnsi="Helvetica Neue"/>
          <w:color w:val="333333"/>
          <w:shd w:val="clear" w:color="auto" w:fill="FFFFFF"/>
        </w:rPr>
        <w:t xml:space="preserve"> AEC Collections</w:t>
      </w:r>
      <w:r>
        <w:rPr>
          <w:rFonts w:ascii="Helvetica Neue" w:hAnsi="Helvetica Neue"/>
          <w:color w:val="333333"/>
          <w:shd w:val="clear" w:color="auto" w:fill="FFFFFF"/>
        </w:rPr>
        <w:t>、</w:t>
      </w:r>
      <w:r>
        <w:rPr>
          <w:rFonts w:ascii="Helvetica Neue" w:hAnsi="Helvetica Neue"/>
          <w:color w:val="333333"/>
          <w:shd w:val="clear" w:color="auto" w:fill="FFFFFF"/>
        </w:rPr>
        <w:t xml:space="preserve">EBA </w:t>
      </w:r>
      <w:r>
        <w:rPr>
          <w:rFonts w:ascii="Helvetica Neue" w:hAnsi="Helvetica Neue"/>
          <w:color w:val="333333"/>
          <w:shd w:val="clear" w:color="auto" w:fill="FFFFFF"/>
        </w:rPr>
        <w:t>产品、</w:t>
      </w:r>
      <w:r>
        <w:rPr>
          <w:rFonts w:ascii="Helvetica Neue" w:hAnsi="Helvetica Neue"/>
          <w:color w:val="333333"/>
          <w:shd w:val="clear" w:color="auto" w:fill="FFFFFF"/>
        </w:rPr>
        <w:t xml:space="preserve">Autodesk Construction Cloud </w:t>
      </w:r>
      <w:r>
        <w:rPr>
          <w:rFonts w:ascii="Helvetica Neue" w:hAnsi="Helvetica Neue"/>
          <w:color w:val="333333"/>
          <w:shd w:val="clear" w:color="auto" w:fill="FFFFFF"/>
        </w:rPr>
        <w:t>以及</w:t>
      </w:r>
      <w:r>
        <w:rPr>
          <w:rFonts w:ascii="Helvetica Neue" w:hAnsi="Helvetica Neue"/>
          <w:color w:val="333333"/>
          <w:shd w:val="clear" w:color="auto" w:fill="FFFFFF"/>
        </w:rPr>
        <w:t xml:space="preserve"> Revit </w:t>
      </w:r>
      <w:r>
        <w:rPr>
          <w:rFonts w:ascii="Helvetica Neue" w:hAnsi="Helvetica Neue"/>
          <w:color w:val="333333"/>
          <w:shd w:val="clear" w:color="auto" w:fill="FFFFFF"/>
        </w:rPr>
        <w:t>等产品组合的放量。</w:t>
      </w:r>
    </w:p>
    <w:p w14:paraId="6E5F213D" w14:textId="6FFE35B8" w:rsidR="003E47DE" w:rsidRDefault="00960129">
      <w:r>
        <w:rPr>
          <w:rFonts w:ascii="Helvetica Neue" w:hAnsi="Helvetica Neue"/>
          <w:color w:val="333333"/>
          <w:shd w:val="clear" w:color="auto" w:fill="FFFFFF"/>
        </w:rPr>
        <w:t>AutoCAD</w:t>
      </w:r>
      <w:r>
        <w:rPr>
          <w:rFonts w:ascii="Helvetica Neue" w:hAnsi="Helvetica Neue"/>
          <w:color w:val="333333"/>
          <w:shd w:val="clear" w:color="auto" w:fill="FFFFFF"/>
        </w:rPr>
        <w:t>与</w:t>
      </w:r>
      <w:r>
        <w:rPr>
          <w:rFonts w:ascii="Helvetica Neue" w:hAnsi="Helvetica Neue"/>
          <w:color w:val="333333"/>
          <w:shd w:val="clear" w:color="auto" w:fill="FFFFFF"/>
        </w:rPr>
        <w:t>AutoCAD LT</w:t>
      </w:r>
      <w:r>
        <w:rPr>
          <w:rFonts w:ascii="Helvetica Neue" w:hAnsi="Helvetica Neue" w:hint="eastAsia"/>
          <w:color w:val="333333"/>
          <w:shd w:val="clear" w:color="auto" w:fill="FFFFFF"/>
        </w:rPr>
        <w:t>（制造行业）</w:t>
      </w:r>
      <w:r>
        <w:rPr>
          <w:rFonts w:ascii="Helvetica Neue" w:hAnsi="Helvetica Neue"/>
          <w:color w:val="333333"/>
          <w:shd w:val="clear" w:color="auto" w:fill="FFFFFF"/>
        </w:rPr>
        <w:t>FY2026</w:t>
      </w:r>
      <w:r>
        <w:rPr>
          <w:rFonts w:ascii="Helvetica Neue" w:hAnsi="Helvetica Neue"/>
          <w:color w:val="333333"/>
          <w:shd w:val="clear" w:color="auto" w:fill="FFFFFF"/>
        </w:rPr>
        <w:t>收入</w:t>
      </w:r>
      <w:r>
        <w:rPr>
          <w:rFonts w:ascii="Helvetica Neue" w:hAnsi="Helvetica Neue" w:hint="eastAsia"/>
          <w:color w:val="333333"/>
          <w:shd w:val="clear" w:color="auto" w:fill="FFFFFF"/>
        </w:rPr>
        <w:t>17</w:t>
      </w:r>
      <w:r>
        <w:rPr>
          <w:rFonts w:ascii="Helvetica Neue" w:hAnsi="Helvetica Neue" w:hint="eastAsia"/>
          <w:color w:val="333333"/>
          <w:shd w:val="clear" w:color="auto" w:fill="FFFFFF"/>
        </w:rPr>
        <w:t>亿</w:t>
      </w:r>
      <w:r>
        <w:rPr>
          <w:rFonts w:ascii="Helvetica Neue" w:hAnsi="Helvetica Neue"/>
          <w:color w:val="333333"/>
          <w:shd w:val="clear" w:color="auto" w:fill="FFFFFF"/>
        </w:rPr>
        <w:t>美元，同比增长</w:t>
      </w:r>
      <w:r>
        <w:rPr>
          <w:rFonts w:ascii="Helvetica Neue" w:hAnsi="Helvetica Neue"/>
          <w:color w:val="333333"/>
          <w:shd w:val="clear" w:color="auto" w:fill="FFFFFF"/>
        </w:rPr>
        <w:t xml:space="preserve"> 13.7%</w:t>
      </w:r>
      <w:r>
        <w:rPr>
          <w:rFonts w:ascii="Helvetica Neue" w:hAnsi="Helvetica Neue"/>
          <w:color w:val="333333"/>
          <w:shd w:val="clear" w:color="auto" w:fill="FFFFFF"/>
        </w:rPr>
        <w:t>。这组传统</w:t>
      </w:r>
      <w:r>
        <w:rPr>
          <w:rFonts w:ascii="Helvetica Neue" w:hAnsi="Helvetica Neue"/>
          <w:color w:val="333333"/>
          <w:shd w:val="clear" w:color="auto" w:fill="FFFFFF"/>
        </w:rPr>
        <w:t xml:space="preserve"> CAD </w:t>
      </w:r>
      <w:r>
        <w:rPr>
          <w:rFonts w:ascii="Helvetica Neue" w:hAnsi="Helvetica Neue"/>
          <w:color w:val="333333"/>
          <w:shd w:val="clear" w:color="auto" w:fill="FFFFFF"/>
        </w:rPr>
        <w:t>产品在长期订阅化迁移后仍保持双位数增长，说明核心设计工具的需求并未因云化而萎缩。</w:t>
      </w:r>
    </w:p>
    <w:p w14:paraId="3C4CD866" w14:textId="13716F06" w:rsidR="003E47DE" w:rsidRDefault="00960129">
      <w:r>
        <w:rPr>
          <w:rFonts w:ascii="Helvetica Neue" w:hAnsi="Helvetica Neue"/>
          <w:color w:val="333333"/>
          <w:shd w:val="clear" w:color="auto" w:fill="FFFFFF"/>
        </w:rPr>
        <w:t>MFG</w:t>
      </w:r>
      <w:r w:rsidR="00977BF5">
        <w:rPr>
          <w:rFonts w:ascii="Helvetica Neue" w:hAnsi="Helvetica Neue" w:hint="eastAsia"/>
          <w:color w:val="333333"/>
          <w:shd w:val="clear" w:color="auto" w:fill="FFFFFF"/>
        </w:rPr>
        <w:t>（制造行业）</w:t>
      </w:r>
      <w:r>
        <w:rPr>
          <w:rFonts w:ascii="Helvetica Neue" w:hAnsi="Helvetica Neue"/>
          <w:color w:val="333333"/>
          <w:shd w:val="clear" w:color="auto" w:fill="FFFFFF"/>
        </w:rPr>
        <w:t>收入</w:t>
      </w:r>
      <w:r>
        <w:rPr>
          <w:rFonts w:ascii="Helvetica Neue" w:hAnsi="Helvetica Neue" w:hint="eastAsia"/>
          <w:color w:val="333333"/>
          <w:shd w:val="clear" w:color="auto" w:fill="FFFFFF"/>
        </w:rPr>
        <w:t>13.8</w:t>
      </w:r>
      <w:r>
        <w:rPr>
          <w:rFonts w:ascii="Helvetica Neue" w:hAnsi="Helvetica Neue" w:hint="eastAsia"/>
          <w:color w:val="333333"/>
          <w:shd w:val="clear" w:color="auto" w:fill="FFFFFF"/>
        </w:rPr>
        <w:t>亿</w:t>
      </w:r>
      <w:r>
        <w:rPr>
          <w:rFonts w:ascii="Helvetica Neue" w:hAnsi="Helvetica Neue"/>
          <w:color w:val="333333"/>
          <w:shd w:val="clear" w:color="auto" w:fill="FFFFFF"/>
        </w:rPr>
        <w:t>美元，同比增长</w:t>
      </w:r>
      <w:r>
        <w:rPr>
          <w:rFonts w:ascii="Helvetica Neue" w:hAnsi="Helvetica Neue"/>
          <w:color w:val="333333"/>
          <w:shd w:val="clear" w:color="auto" w:fill="FFFFFF"/>
        </w:rPr>
        <w:t>16.0%</w:t>
      </w:r>
      <w:r>
        <w:rPr>
          <w:rFonts w:ascii="Helvetica Neue" w:hAnsi="Helvetica Neue"/>
          <w:color w:val="333333"/>
          <w:shd w:val="clear" w:color="auto" w:fill="FFFFFF"/>
        </w:rPr>
        <w:t>，由</w:t>
      </w:r>
      <w:r>
        <w:rPr>
          <w:rFonts w:ascii="Helvetica Neue" w:hAnsi="Helvetica Neue"/>
          <w:color w:val="333333"/>
          <w:shd w:val="clear" w:color="auto" w:fill="FFFFFF"/>
        </w:rPr>
        <w:t xml:space="preserve"> MFG Collections</w:t>
      </w:r>
      <w:r>
        <w:rPr>
          <w:rFonts w:ascii="Helvetica Neue" w:hAnsi="Helvetica Neue"/>
          <w:color w:val="333333"/>
          <w:shd w:val="clear" w:color="auto" w:fill="FFFFFF"/>
        </w:rPr>
        <w:t>、</w:t>
      </w:r>
      <w:r>
        <w:rPr>
          <w:rFonts w:ascii="Helvetica Neue" w:hAnsi="Helvetica Neue"/>
          <w:color w:val="333333"/>
          <w:shd w:val="clear" w:color="auto" w:fill="FFFFFF"/>
        </w:rPr>
        <w:t xml:space="preserve">Fusion </w:t>
      </w:r>
      <w:r>
        <w:rPr>
          <w:rFonts w:ascii="Helvetica Neue" w:hAnsi="Helvetica Neue"/>
          <w:color w:val="333333"/>
          <w:shd w:val="clear" w:color="auto" w:fill="FFFFFF"/>
        </w:rPr>
        <w:t>和</w:t>
      </w:r>
      <w:r>
        <w:rPr>
          <w:rFonts w:ascii="Helvetica Neue" w:hAnsi="Helvetica Neue"/>
          <w:color w:val="333333"/>
          <w:shd w:val="clear" w:color="auto" w:fill="FFFFFF"/>
        </w:rPr>
        <w:t xml:space="preserve"> Inventor </w:t>
      </w:r>
      <w:r>
        <w:rPr>
          <w:rFonts w:ascii="Helvetica Neue" w:hAnsi="Helvetica Neue"/>
          <w:color w:val="333333"/>
          <w:shd w:val="clear" w:color="auto" w:fill="FFFFFF"/>
        </w:rPr>
        <w:t>驱动。</w:t>
      </w:r>
    </w:p>
    <w:p w14:paraId="7CA7CB7F" w14:textId="6A780373" w:rsidR="00917118" w:rsidRDefault="00265CCC">
      <w:r>
        <w:rPr>
          <w:rFonts w:ascii="Helvetica Neue" w:hAnsi="Helvetica Neue"/>
          <w:color w:val="333333"/>
          <w:shd w:val="clear" w:color="auto" w:fill="FFFFFF"/>
        </w:rPr>
        <w:t>M&amp;E</w:t>
      </w:r>
      <w:r w:rsidR="00820F81">
        <w:rPr>
          <w:rFonts w:ascii="Helvetica Neue" w:hAnsi="Helvetica Neue" w:hint="eastAsia"/>
          <w:color w:val="333333"/>
          <w:shd w:val="clear" w:color="auto" w:fill="FFFFFF"/>
        </w:rPr>
        <w:t>（媒体娱乐行业）</w:t>
      </w:r>
      <w:r>
        <w:rPr>
          <w:rFonts w:ascii="Helvetica Neue" w:hAnsi="Helvetica Neue"/>
          <w:color w:val="333333"/>
          <w:shd w:val="clear" w:color="auto" w:fill="FFFFFF"/>
        </w:rPr>
        <w:t>是增速最慢的产品家族，</w:t>
      </w:r>
      <w:r>
        <w:rPr>
          <w:rFonts w:ascii="Helvetica Neue" w:hAnsi="Helvetica Neue"/>
          <w:color w:val="333333"/>
          <w:shd w:val="clear" w:color="auto" w:fill="FFFFFF"/>
        </w:rPr>
        <w:t xml:space="preserve">FY2026 </w:t>
      </w:r>
      <w:r>
        <w:rPr>
          <w:rFonts w:ascii="Helvetica Neue" w:hAnsi="Helvetica Neue"/>
          <w:color w:val="333333"/>
          <w:shd w:val="clear" w:color="auto" w:fill="FFFFFF"/>
        </w:rPr>
        <w:t>仅增长</w:t>
      </w:r>
      <w:r>
        <w:rPr>
          <w:rFonts w:ascii="Helvetica Neue" w:hAnsi="Helvetica Neue"/>
          <w:color w:val="333333"/>
          <w:shd w:val="clear" w:color="auto" w:fill="FFFFFF"/>
        </w:rPr>
        <w:t xml:space="preserve"> 5.4%</w:t>
      </w:r>
      <w:r>
        <w:rPr>
          <w:rFonts w:ascii="Helvetica Neue" w:hAnsi="Helvetica Neue"/>
          <w:color w:val="333333"/>
          <w:shd w:val="clear" w:color="auto" w:fill="FFFFFF"/>
        </w:rPr>
        <w:t>。公司提到</w:t>
      </w:r>
      <w:r>
        <w:rPr>
          <w:rFonts w:ascii="Helvetica Neue" w:hAnsi="Helvetica Neue"/>
          <w:color w:val="333333"/>
          <w:shd w:val="clear" w:color="auto" w:fill="FFFFFF"/>
        </w:rPr>
        <w:t xml:space="preserve"> M&amp;E </w:t>
      </w:r>
      <w:r>
        <w:rPr>
          <w:rFonts w:ascii="Helvetica Neue" w:hAnsi="Helvetica Neue"/>
          <w:color w:val="333333"/>
          <w:shd w:val="clear" w:color="auto" w:fill="FFFFFF"/>
        </w:rPr>
        <w:t>受新交易模式下</w:t>
      </w:r>
      <w:r>
        <w:rPr>
          <w:rFonts w:ascii="Helvetica Neue" w:hAnsi="Helvetica Neue"/>
          <w:color w:val="333333"/>
          <w:shd w:val="clear" w:color="auto" w:fill="FFFFFF"/>
        </w:rPr>
        <w:t xml:space="preserve"> contra-revenue </w:t>
      </w:r>
      <w:r>
        <w:rPr>
          <w:rFonts w:ascii="Helvetica Neue" w:hAnsi="Helvetica Neue"/>
          <w:color w:val="333333"/>
          <w:shd w:val="clear" w:color="auto" w:fill="FFFFFF"/>
        </w:rPr>
        <w:t>减少以及</w:t>
      </w:r>
      <w:r>
        <w:rPr>
          <w:rFonts w:ascii="Helvetica Neue" w:hAnsi="Helvetica Neue"/>
          <w:color w:val="333333"/>
          <w:shd w:val="clear" w:color="auto" w:fill="FFFFFF"/>
        </w:rPr>
        <w:t xml:space="preserve"> EBA </w:t>
      </w:r>
      <w:r>
        <w:rPr>
          <w:rFonts w:ascii="Helvetica Neue" w:hAnsi="Helvetica Neue"/>
          <w:color w:val="333333"/>
          <w:shd w:val="clear" w:color="auto" w:fill="FFFFFF"/>
        </w:rPr>
        <w:t>产品贡献影响。由于</w:t>
      </w:r>
      <w:r>
        <w:rPr>
          <w:rFonts w:ascii="Helvetica Neue" w:hAnsi="Helvetica Neue"/>
          <w:color w:val="333333"/>
          <w:shd w:val="clear" w:color="auto" w:fill="FFFFFF"/>
        </w:rPr>
        <w:t xml:space="preserve"> M&amp;E </w:t>
      </w:r>
      <w:r>
        <w:rPr>
          <w:rFonts w:ascii="Helvetica Neue" w:hAnsi="Helvetica Neue"/>
          <w:color w:val="333333"/>
          <w:shd w:val="clear" w:color="auto" w:fill="FFFFFF"/>
        </w:rPr>
        <w:t>收入较小，该家族对整体增速的拖累有限，但若后续媒体娱乐行业预算走弱，仍可能进一步压低结构增速。</w:t>
      </w:r>
    </w:p>
    <w:p w14:paraId="6BE36DDA" w14:textId="0F86DBAF" w:rsidR="00917118" w:rsidRDefault="00556332">
      <w:r w:rsidRPr="00556332">
        <w:rPr>
          <w:noProof/>
        </w:rPr>
        <w:drawing>
          <wp:inline distT="0" distB="0" distL="0" distR="0" wp14:anchorId="43A6898A" wp14:editId="69A491A8">
            <wp:extent cx="5604933" cy="1818149"/>
            <wp:effectExtent l="0" t="0" r="0" b="0"/>
            <wp:docPr id="19598767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876755" name=""/>
                    <pic:cNvPicPr/>
                  </pic:nvPicPr>
                  <pic:blipFill>
                    <a:blip r:embed="rId15"/>
                    <a:stretch>
                      <a:fillRect/>
                    </a:stretch>
                  </pic:blipFill>
                  <pic:spPr>
                    <a:xfrm>
                      <a:off x="0" y="0"/>
                      <a:ext cx="5646168" cy="1831525"/>
                    </a:xfrm>
                    <a:prstGeom prst="rect">
                      <a:avLst/>
                    </a:prstGeom>
                  </pic:spPr>
                </pic:pic>
              </a:graphicData>
            </a:graphic>
          </wp:inline>
        </w:drawing>
      </w:r>
    </w:p>
    <w:p w14:paraId="41E52CFB" w14:textId="4B9B8AE3" w:rsidR="00556332" w:rsidRDefault="00C3350B">
      <w:r>
        <w:rPr>
          <w:rFonts w:hint="eastAsia"/>
        </w:rPr>
        <w:t>Autodesk将</w:t>
      </w:r>
      <w:r>
        <w:rPr>
          <w:rFonts w:ascii="Helvetica Neue" w:hAnsi="Helvetica Neue"/>
          <w:color w:val="333333"/>
          <w:shd w:val="clear" w:color="auto" w:fill="FFFFFF"/>
        </w:rPr>
        <w:t>产品类型切分为</w:t>
      </w:r>
      <w:r>
        <w:rPr>
          <w:rFonts w:ascii="Helvetica Neue" w:hAnsi="Helvetica Neue"/>
          <w:color w:val="333333"/>
          <w:shd w:val="clear" w:color="auto" w:fill="FFFFFF"/>
        </w:rPr>
        <w:t>Design</w:t>
      </w:r>
      <w:r>
        <w:rPr>
          <w:rFonts w:ascii="Helvetica Neue" w:hAnsi="Helvetica Neue"/>
          <w:color w:val="333333"/>
          <w:shd w:val="clear" w:color="auto" w:fill="FFFFFF"/>
        </w:rPr>
        <w:t>与</w:t>
      </w:r>
      <w:r>
        <w:rPr>
          <w:rFonts w:ascii="Helvetica Neue" w:hAnsi="Helvetica Neue"/>
          <w:color w:val="333333"/>
          <w:shd w:val="clear" w:color="auto" w:fill="FFFFFF"/>
        </w:rPr>
        <w:t>Make</w:t>
      </w:r>
      <w:r>
        <w:rPr>
          <w:rFonts w:ascii="Helvetica Neue" w:hAnsi="Helvetica Neue"/>
          <w:color w:val="333333"/>
          <w:shd w:val="clear" w:color="auto" w:fill="FFFFFF"/>
        </w:rPr>
        <w:t>两大类。</w:t>
      </w:r>
      <w:r>
        <w:rPr>
          <w:rFonts w:ascii="Helvetica Neue" w:hAnsi="Helvetica Neue"/>
          <w:color w:val="333333"/>
          <w:shd w:val="clear" w:color="auto" w:fill="FFFFFF"/>
        </w:rPr>
        <w:t>Design</w:t>
      </w:r>
      <w:r>
        <w:rPr>
          <w:rFonts w:ascii="Helvetica Neue" w:hAnsi="Helvetica Neue"/>
          <w:color w:val="333333"/>
          <w:shd w:val="clear" w:color="auto" w:fill="FFFFFF"/>
        </w:rPr>
        <w:t>是公司的基本盘，</w:t>
      </w:r>
      <w:r>
        <w:rPr>
          <w:rFonts w:ascii="Helvetica Neue" w:hAnsi="Helvetica Neue"/>
          <w:color w:val="333333"/>
          <w:shd w:val="clear" w:color="auto" w:fill="FFFFFF"/>
        </w:rPr>
        <w:t>FY2026</w:t>
      </w:r>
      <w:r>
        <w:rPr>
          <w:rFonts w:ascii="Helvetica Neue" w:hAnsi="Helvetica Neue"/>
          <w:color w:val="333333"/>
          <w:shd w:val="clear" w:color="auto" w:fill="FFFFFF"/>
        </w:rPr>
        <w:t>收</w:t>
      </w:r>
      <w:r>
        <w:rPr>
          <w:rFonts w:ascii="Helvetica Neue" w:hAnsi="Helvetica Neue" w:hint="eastAsia"/>
          <w:color w:val="333333"/>
          <w:shd w:val="clear" w:color="auto" w:fill="FFFFFF"/>
        </w:rPr>
        <w:t>入</w:t>
      </w:r>
      <w:r>
        <w:rPr>
          <w:rFonts w:ascii="Helvetica Neue" w:hAnsi="Helvetica Neue" w:hint="eastAsia"/>
          <w:color w:val="333333"/>
          <w:shd w:val="clear" w:color="auto" w:fill="FFFFFF"/>
        </w:rPr>
        <w:t>59.8</w:t>
      </w:r>
      <w:r>
        <w:rPr>
          <w:rFonts w:ascii="Helvetica Neue" w:hAnsi="Helvetica Neue" w:hint="eastAsia"/>
          <w:color w:val="333333"/>
          <w:shd w:val="clear" w:color="auto" w:fill="FFFFFF"/>
        </w:rPr>
        <w:t>亿美</w:t>
      </w:r>
      <w:r>
        <w:rPr>
          <w:rFonts w:ascii="Helvetica Neue" w:hAnsi="Helvetica Neue"/>
          <w:color w:val="333333"/>
          <w:shd w:val="clear" w:color="auto" w:fill="FFFFFF"/>
        </w:rPr>
        <w:t>元，占总收入约</w:t>
      </w:r>
      <w:r>
        <w:rPr>
          <w:rFonts w:ascii="Helvetica Neue" w:hAnsi="Helvetica Neue"/>
          <w:color w:val="333333"/>
          <w:shd w:val="clear" w:color="auto" w:fill="FFFFFF"/>
        </w:rPr>
        <w:t>83.0%</w:t>
      </w:r>
      <w:r>
        <w:rPr>
          <w:rFonts w:ascii="Helvetica Neue" w:hAnsi="Helvetica Neue"/>
          <w:color w:val="333333"/>
          <w:shd w:val="clear" w:color="auto" w:fill="FFFFFF"/>
        </w:rPr>
        <w:t>，同比增长</w:t>
      </w:r>
      <w:r>
        <w:rPr>
          <w:rFonts w:ascii="Helvetica Neue" w:hAnsi="Helvetica Neue"/>
          <w:color w:val="333333"/>
          <w:shd w:val="clear" w:color="auto" w:fill="FFFFFF"/>
        </w:rPr>
        <w:t>17.2%</w:t>
      </w:r>
      <w:r>
        <w:rPr>
          <w:rFonts w:ascii="Helvetica Neue" w:hAnsi="Helvetica Neue"/>
          <w:color w:val="333333"/>
          <w:shd w:val="clear" w:color="auto" w:fill="FFFFFF"/>
        </w:rPr>
        <w:t>。</w:t>
      </w:r>
      <w:r>
        <w:rPr>
          <w:rFonts w:ascii="Helvetica Neue" w:hAnsi="Helvetica Neue"/>
          <w:color w:val="333333"/>
          <w:shd w:val="clear" w:color="auto" w:fill="FFFFFF"/>
        </w:rPr>
        <w:t>Make</w:t>
      </w:r>
      <w:r>
        <w:rPr>
          <w:rFonts w:ascii="Helvetica Neue" w:hAnsi="Helvetica Neue"/>
          <w:color w:val="333333"/>
          <w:shd w:val="clear" w:color="auto" w:fill="FFFFFF"/>
        </w:rPr>
        <w:t>收入虽然只有</w:t>
      </w:r>
      <w:r w:rsidR="009D5916">
        <w:rPr>
          <w:rFonts w:ascii="Helvetica Neue" w:hAnsi="Helvetica Neue" w:hint="eastAsia"/>
          <w:color w:val="333333"/>
          <w:shd w:val="clear" w:color="auto" w:fill="FFFFFF"/>
        </w:rPr>
        <w:t>7.9</w:t>
      </w:r>
      <w:r w:rsidR="009D5916">
        <w:rPr>
          <w:rFonts w:ascii="Helvetica Neue" w:hAnsi="Helvetica Neue" w:hint="eastAsia"/>
          <w:color w:val="333333"/>
          <w:shd w:val="clear" w:color="auto" w:fill="FFFFFF"/>
        </w:rPr>
        <w:t>亿</w:t>
      </w:r>
      <w:r>
        <w:rPr>
          <w:rFonts w:ascii="Helvetica Neue" w:hAnsi="Helvetica Neue"/>
          <w:color w:val="333333"/>
          <w:shd w:val="clear" w:color="auto" w:fill="FFFFFF"/>
        </w:rPr>
        <w:t>美元，但同比增长</w:t>
      </w:r>
      <w:r>
        <w:rPr>
          <w:rFonts w:ascii="Helvetica Neue" w:hAnsi="Helvetica Neue"/>
          <w:color w:val="333333"/>
          <w:shd w:val="clear" w:color="auto" w:fill="FFFFFF"/>
        </w:rPr>
        <w:t xml:space="preserve"> 21.7%</w:t>
      </w:r>
      <w:r>
        <w:rPr>
          <w:rFonts w:ascii="Helvetica Neue" w:hAnsi="Helvetica Neue"/>
          <w:color w:val="333333"/>
          <w:shd w:val="clear" w:color="auto" w:fill="FFFFFF"/>
        </w:rPr>
        <w:t>，是公司从设计工具向制造、生产与工作流延伸的可见信号。</w:t>
      </w:r>
    </w:p>
    <w:p w14:paraId="3F8EA24E" w14:textId="659E160F" w:rsidR="00C3350B" w:rsidRDefault="00F718B7">
      <w:r w:rsidRPr="00F718B7">
        <w:rPr>
          <w:noProof/>
        </w:rPr>
        <w:lastRenderedPageBreak/>
        <w:drawing>
          <wp:inline distT="0" distB="0" distL="0" distR="0" wp14:anchorId="7CC1346F" wp14:editId="60B0173A">
            <wp:extent cx="5588000" cy="2806814"/>
            <wp:effectExtent l="0" t="0" r="0" b="0"/>
            <wp:docPr id="12117669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766925" name=""/>
                    <pic:cNvPicPr/>
                  </pic:nvPicPr>
                  <pic:blipFill>
                    <a:blip r:embed="rId16"/>
                    <a:stretch>
                      <a:fillRect/>
                    </a:stretch>
                  </pic:blipFill>
                  <pic:spPr>
                    <a:xfrm>
                      <a:off x="0" y="0"/>
                      <a:ext cx="5610856" cy="2818294"/>
                    </a:xfrm>
                    <a:prstGeom prst="rect">
                      <a:avLst/>
                    </a:prstGeom>
                  </pic:spPr>
                </pic:pic>
              </a:graphicData>
            </a:graphic>
          </wp:inline>
        </w:drawing>
      </w:r>
    </w:p>
    <w:p w14:paraId="29F9E50E" w14:textId="465712C3" w:rsidR="00C3350B" w:rsidRDefault="00D539C9">
      <w:r>
        <w:rPr>
          <w:rFonts w:ascii="Helvetica Neue" w:hAnsi="Helvetica Neue"/>
          <w:color w:val="333333"/>
          <w:shd w:val="clear" w:color="auto" w:fill="FFFFFF"/>
        </w:rPr>
        <w:t>从可追踪指标看，公司增长更多来自存量客户续费、现有客户扩展和多年度合同。管理层在</w:t>
      </w:r>
      <w:r>
        <w:rPr>
          <w:rFonts w:ascii="Helvetica Neue" w:hAnsi="Helvetica Neue"/>
          <w:color w:val="333333"/>
          <w:shd w:val="clear" w:color="auto" w:fill="FFFFFF"/>
        </w:rPr>
        <w:t xml:space="preserve"> FY2026 MD&amp;A </w:t>
      </w:r>
      <w:r>
        <w:rPr>
          <w:rFonts w:ascii="Helvetica Neue" w:hAnsi="Helvetica Neue"/>
          <w:color w:val="333333"/>
          <w:shd w:val="clear" w:color="auto" w:fill="FFFFFF"/>
        </w:rPr>
        <w:t>中将订阅增长主要归因于现有客户群的订阅扩展，而非单纯的新客户放量。</w:t>
      </w:r>
    </w:p>
    <w:p w14:paraId="74EFD6DB" w14:textId="2DF5C558" w:rsidR="00C3350B" w:rsidRDefault="00F82995">
      <w:r w:rsidRPr="00F82995">
        <w:rPr>
          <w:noProof/>
        </w:rPr>
        <w:drawing>
          <wp:inline distT="0" distB="0" distL="0" distR="0" wp14:anchorId="48A08A2C" wp14:editId="095D36FB">
            <wp:extent cx="5444067" cy="1604195"/>
            <wp:effectExtent l="0" t="0" r="4445" b="0"/>
            <wp:docPr id="21462814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281453" name=""/>
                    <pic:cNvPicPr/>
                  </pic:nvPicPr>
                  <pic:blipFill>
                    <a:blip r:embed="rId17"/>
                    <a:stretch>
                      <a:fillRect/>
                    </a:stretch>
                  </pic:blipFill>
                  <pic:spPr>
                    <a:xfrm>
                      <a:off x="0" y="0"/>
                      <a:ext cx="5469281" cy="1611625"/>
                    </a:xfrm>
                    <a:prstGeom prst="rect">
                      <a:avLst/>
                    </a:prstGeom>
                  </pic:spPr>
                </pic:pic>
              </a:graphicData>
            </a:graphic>
          </wp:inline>
        </w:drawing>
      </w:r>
    </w:p>
    <w:p w14:paraId="4F7EA77D" w14:textId="535894EF" w:rsidR="00C3350B" w:rsidRDefault="0028149F">
      <w:r w:rsidRPr="0028149F">
        <w:rPr>
          <w:noProof/>
        </w:rPr>
        <w:drawing>
          <wp:inline distT="0" distB="0" distL="0" distR="0" wp14:anchorId="085668BF" wp14:editId="09E8192A">
            <wp:extent cx="5223933" cy="3191461"/>
            <wp:effectExtent l="0" t="0" r="0" b="0"/>
            <wp:docPr id="14820280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028017" name=""/>
                    <pic:cNvPicPr/>
                  </pic:nvPicPr>
                  <pic:blipFill>
                    <a:blip r:embed="rId18"/>
                    <a:stretch>
                      <a:fillRect/>
                    </a:stretch>
                  </pic:blipFill>
                  <pic:spPr>
                    <a:xfrm>
                      <a:off x="0" y="0"/>
                      <a:ext cx="5263703" cy="3215757"/>
                    </a:xfrm>
                    <a:prstGeom prst="rect">
                      <a:avLst/>
                    </a:prstGeom>
                  </pic:spPr>
                </pic:pic>
              </a:graphicData>
            </a:graphic>
          </wp:inline>
        </w:drawing>
      </w:r>
    </w:p>
    <w:p w14:paraId="6B167609" w14:textId="0313F781" w:rsidR="00E46C5D" w:rsidRDefault="00E46C5D">
      <w:pPr>
        <w:rPr>
          <w:rFonts w:ascii="Helvetica Neue" w:hAnsi="Helvetica Neue"/>
          <w:color w:val="333333"/>
          <w:shd w:val="clear" w:color="auto" w:fill="FFFFFF"/>
        </w:rPr>
      </w:pPr>
      <w:r>
        <w:rPr>
          <w:rFonts w:ascii="Helvetica Neue" w:hAnsi="Helvetica Neue" w:hint="eastAsia"/>
          <w:color w:val="333333"/>
          <w:shd w:val="clear" w:color="auto" w:fill="FFFFFF"/>
        </w:rPr>
        <w:t>未开票递延收入是</w:t>
      </w:r>
      <w:r w:rsidRPr="00E46C5D">
        <w:rPr>
          <w:rFonts w:ascii="Helvetica Neue" w:hAnsi="Helvetica Neue"/>
          <w:color w:val="333333"/>
          <w:shd w:val="clear" w:color="auto" w:fill="FFFFFF"/>
        </w:rPr>
        <w:t>多年期</w:t>
      </w:r>
      <w:r w:rsidRPr="00E46C5D">
        <w:rPr>
          <w:rFonts w:ascii="Helvetica Neue" w:hAnsi="Helvetica Neue"/>
          <w:color w:val="333333"/>
          <w:shd w:val="clear" w:color="auto" w:fill="FFFFFF"/>
        </w:rPr>
        <w:t xml:space="preserve"> EBA + </w:t>
      </w:r>
      <w:r w:rsidRPr="00E46C5D">
        <w:rPr>
          <w:rFonts w:ascii="Helvetica Neue" w:hAnsi="Helvetica Neue"/>
          <w:color w:val="333333"/>
          <w:shd w:val="clear" w:color="auto" w:fill="FFFFFF"/>
        </w:rPr>
        <w:t>提前续约</w:t>
      </w:r>
      <w:r w:rsidRPr="00E46C5D">
        <w:rPr>
          <w:rFonts w:ascii="Helvetica Neue" w:hAnsi="Helvetica Neue"/>
          <w:color w:val="333333"/>
          <w:shd w:val="clear" w:color="auto" w:fill="FFFFFF"/>
        </w:rPr>
        <w:t xml:space="preserve"> + </w:t>
      </w:r>
      <w:r w:rsidRPr="00E46C5D">
        <w:rPr>
          <w:rFonts w:ascii="Helvetica Neue" w:hAnsi="Helvetica Neue"/>
          <w:color w:val="333333"/>
          <w:shd w:val="clear" w:color="auto" w:fill="FFFFFF"/>
        </w:rPr>
        <w:t>年付转型的合力。</w:t>
      </w:r>
    </w:p>
    <w:p w14:paraId="425D84F3" w14:textId="77777777" w:rsidR="00E46C5D" w:rsidRDefault="00E46C5D">
      <w:pPr>
        <w:rPr>
          <w:rFonts w:ascii="Helvetica Neue" w:hAnsi="Helvetica Neue"/>
          <w:color w:val="333333"/>
          <w:shd w:val="clear" w:color="auto" w:fill="FFFFFF"/>
        </w:rPr>
      </w:pPr>
    </w:p>
    <w:p w14:paraId="3786851E" w14:textId="57BB2A95" w:rsidR="004C7F69" w:rsidRPr="00355516" w:rsidRDefault="00355516">
      <w:pPr>
        <w:rPr>
          <w:rFonts w:ascii="Helvetica Neue" w:hAnsi="Helvetica Neue"/>
          <w:b/>
          <w:bCs/>
          <w:color w:val="333333"/>
          <w:shd w:val="clear" w:color="auto" w:fill="FFFFFF"/>
        </w:rPr>
      </w:pPr>
      <w:r w:rsidRPr="00355516">
        <w:rPr>
          <w:rFonts w:ascii="Helvetica Neue" w:hAnsi="Helvetica Neue"/>
          <w:b/>
          <w:bCs/>
          <w:color w:val="333333"/>
          <w:shd w:val="clear" w:color="auto" w:fill="FFFFFF"/>
        </w:rPr>
        <w:lastRenderedPageBreak/>
        <w:t>当期</w:t>
      </w:r>
      <w:r w:rsidRPr="00355516">
        <w:rPr>
          <w:rFonts w:ascii="Helvetica Neue" w:hAnsi="Helvetica Neue"/>
          <w:b/>
          <w:bCs/>
          <w:color w:val="333333"/>
          <w:shd w:val="clear" w:color="auto" w:fill="FFFFFF"/>
        </w:rPr>
        <w:t xml:space="preserve"> RPO</w:t>
      </w:r>
      <w:r w:rsidRPr="00355516">
        <w:rPr>
          <w:rFonts w:ascii="Helvetica Neue" w:hAnsi="Helvetica Neue"/>
          <w:b/>
          <w:bCs/>
          <w:color w:val="333333"/>
          <w:shd w:val="clear" w:color="auto" w:fill="FFFFFF"/>
        </w:rPr>
        <w:t>（</w:t>
      </w:r>
      <w:r w:rsidRPr="00355516">
        <w:rPr>
          <w:rFonts w:ascii="Helvetica Neue" w:hAnsi="Helvetica Neue"/>
          <w:b/>
          <w:bCs/>
          <w:color w:val="333333"/>
          <w:shd w:val="clear" w:color="auto" w:fill="FFFFFF"/>
        </w:rPr>
        <w:t>cRPO</w:t>
      </w:r>
      <w:r w:rsidRPr="00355516">
        <w:rPr>
          <w:rFonts w:ascii="Helvetica Neue" w:hAnsi="Helvetica Neue"/>
          <w:b/>
          <w:bCs/>
          <w:color w:val="333333"/>
          <w:shd w:val="clear" w:color="auto" w:fill="FFFFFF"/>
        </w:rPr>
        <w:t>）</w:t>
      </w:r>
      <w:r w:rsidRPr="00355516">
        <w:rPr>
          <w:rFonts w:ascii="Helvetica Neue" w:hAnsi="Helvetica Neue" w:hint="eastAsia"/>
          <w:b/>
          <w:bCs/>
          <w:color w:val="333333"/>
          <w:shd w:val="clear" w:color="auto" w:fill="FFFFFF"/>
        </w:rPr>
        <w:t>覆盖率法</w:t>
      </w:r>
    </w:p>
    <w:p w14:paraId="4490CE43" w14:textId="77777777" w:rsidR="001579F5" w:rsidRDefault="00D5647D">
      <w:r w:rsidRPr="00D5647D">
        <w:t>当期 RPO（cRPO）的会计定义</w:t>
      </w:r>
      <w:r w:rsidR="001579F5">
        <w:rPr>
          <w:rFonts w:hint="eastAsia"/>
        </w:rPr>
        <w:t>：</w:t>
      </w:r>
      <w:r w:rsidR="001579F5" w:rsidRPr="001579F5">
        <w:t>短期 + 长期递延 + 未开票递延中"预计未来 12 个月确认"的部分</w:t>
      </w:r>
      <w:r w:rsidRPr="00D5647D">
        <w:t>。</w:t>
      </w:r>
      <w:r w:rsidR="001579F5" w:rsidRPr="001579F5">
        <w:t>它不是"订单储备"这种模糊概念，是 GAAP 意义上已锁定、只等时间流逝就会变成收入的金额。</w:t>
      </w:r>
    </w:p>
    <w:p w14:paraId="44A26521" w14:textId="0627EBE1" w:rsidR="001579F5" w:rsidRDefault="001579F5">
      <w:r>
        <w:rPr>
          <w:rFonts w:hint="eastAsia"/>
        </w:rPr>
        <w:t>Autodesk的收入机制：收入按期确认+经常性收入占97%。</w:t>
      </w:r>
    </w:p>
    <w:p w14:paraId="0DC91574" w14:textId="6F794053" w:rsidR="00FE60BD" w:rsidRDefault="001579F5">
      <w:r>
        <w:rPr>
          <w:rFonts w:hint="eastAsia"/>
        </w:rPr>
        <w:t>因此下一财年的收入结构是：</w:t>
      </w:r>
    </w:p>
    <w:p w14:paraId="1572A217" w14:textId="2879FC06" w:rsidR="001579F5" w:rsidRDefault="001579F5">
      <w:r>
        <w:tab/>
      </w:r>
      <w:r>
        <w:rPr>
          <w:rFonts w:hint="eastAsia"/>
        </w:rPr>
        <w:t>FY2027收入 ≈ 期初cRPO + 年内新签合同的当年确认部分</w:t>
      </w:r>
    </w:p>
    <w:p w14:paraId="42F90617" w14:textId="6B8BBE47" w:rsidR="00D5647D" w:rsidRDefault="00BB2B6A">
      <w:pPr>
        <w:rPr>
          <w:rFonts w:ascii="Cambria" w:hAnsi="Cambria" w:cs="Cambria"/>
        </w:rPr>
      </w:pPr>
      <w:r>
        <w:tab/>
      </w:r>
      <w:r>
        <w:rPr>
          <w:rFonts w:hint="eastAsia"/>
        </w:rPr>
        <w:t xml:space="preserve">cRPO覆盖率 = 上一年末cRPO </w:t>
      </w:r>
      <w:r>
        <w:rPr>
          <w:rFonts w:ascii="Apple Color Emoji" w:hAnsi="Apple Color Emoji" w:cs="Apple Color Emoji" w:hint="eastAsia"/>
        </w:rPr>
        <w:t xml:space="preserve">/ </w:t>
      </w:r>
      <w:r>
        <w:rPr>
          <w:rFonts w:ascii="Cambria" w:hAnsi="Cambria" w:cs="Cambria" w:hint="eastAsia"/>
        </w:rPr>
        <w:t>次年实际净收入</w:t>
      </w:r>
    </w:p>
    <w:p w14:paraId="50198E7E" w14:textId="642A205D" w:rsidR="00BB2B6A" w:rsidRDefault="00FE7B4F">
      <w:r w:rsidRPr="00FE7B4F">
        <w:rPr>
          <w:noProof/>
        </w:rPr>
        <w:drawing>
          <wp:inline distT="0" distB="0" distL="0" distR="0" wp14:anchorId="3F286AF9" wp14:editId="681ACD82">
            <wp:extent cx="5935133" cy="1664400"/>
            <wp:effectExtent l="0" t="0" r="0" b="0"/>
            <wp:docPr id="17311781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178143" name=""/>
                    <pic:cNvPicPr/>
                  </pic:nvPicPr>
                  <pic:blipFill>
                    <a:blip r:embed="rId19"/>
                    <a:stretch>
                      <a:fillRect/>
                    </a:stretch>
                  </pic:blipFill>
                  <pic:spPr>
                    <a:xfrm>
                      <a:off x="0" y="0"/>
                      <a:ext cx="5959174" cy="1671142"/>
                    </a:xfrm>
                    <a:prstGeom prst="rect">
                      <a:avLst/>
                    </a:prstGeom>
                  </pic:spPr>
                </pic:pic>
              </a:graphicData>
            </a:graphic>
          </wp:inline>
        </w:drawing>
      </w:r>
    </w:p>
    <w:p w14:paraId="60502906" w14:textId="521007C0" w:rsidR="00FE60BD" w:rsidRDefault="00E46C5D">
      <w:r>
        <w:rPr>
          <w:rFonts w:hint="eastAsia"/>
        </w:rPr>
        <w:t xml:space="preserve">由此可测算FY2027年的总净收入，5479 / </w:t>
      </w:r>
      <w:r>
        <w:t xml:space="preserve">(61.9% ~ 64.9%) </w:t>
      </w:r>
      <w:r>
        <w:rPr>
          <w:rFonts w:hint="eastAsia"/>
        </w:rPr>
        <w:t xml:space="preserve">= </w:t>
      </w:r>
      <w:r>
        <w:t>8450 ~ 8860</w:t>
      </w:r>
    </w:p>
    <w:p w14:paraId="271BAC0C" w14:textId="0F68594B" w:rsidR="00E46C5D" w:rsidRDefault="008A383A">
      <w:r>
        <w:rPr>
          <w:rFonts w:hint="eastAsia"/>
        </w:rPr>
        <w:t>管理层在FY27Q2业绩会上给出全年总净收入指引，并上调区间：上调至82.95至8345亿美元。上调反映了Maitainx的贡献、二季度超预期的强劲表现以及基础业务预期的改善。</w:t>
      </w:r>
    </w:p>
    <w:p w14:paraId="305C787C" w14:textId="56C19E44" w:rsidR="00E54B60" w:rsidRDefault="00D30EFA" w:rsidP="00E54B60">
      <w:r>
        <w:rPr>
          <w:rFonts w:hint="eastAsia"/>
        </w:rPr>
        <w:t>指引里还给了账单、利润率、FCF、SBC四条指引。</w:t>
      </w:r>
    </w:p>
    <w:p w14:paraId="0E24D54A" w14:textId="0E9D2DF8" w:rsidR="00E46C5D" w:rsidRDefault="00BD0AB2">
      <w:r w:rsidRPr="00BD0AB2">
        <w:rPr>
          <w:noProof/>
        </w:rPr>
        <w:drawing>
          <wp:inline distT="0" distB="0" distL="0" distR="0" wp14:anchorId="3EF93F0A" wp14:editId="1299098C">
            <wp:extent cx="6645910" cy="2895600"/>
            <wp:effectExtent l="0" t="0" r="0" b="0"/>
            <wp:docPr id="2247212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721268" name=""/>
                    <pic:cNvPicPr/>
                  </pic:nvPicPr>
                  <pic:blipFill>
                    <a:blip r:embed="rId20"/>
                    <a:stretch>
                      <a:fillRect/>
                    </a:stretch>
                  </pic:blipFill>
                  <pic:spPr>
                    <a:xfrm>
                      <a:off x="0" y="0"/>
                      <a:ext cx="6645910" cy="2895600"/>
                    </a:xfrm>
                    <a:prstGeom prst="rect">
                      <a:avLst/>
                    </a:prstGeom>
                  </pic:spPr>
                </pic:pic>
              </a:graphicData>
            </a:graphic>
          </wp:inline>
        </w:drawing>
      </w:r>
    </w:p>
    <w:p w14:paraId="54CF7F21" w14:textId="5CE188D1" w:rsidR="009041BE" w:rsidRDefault="009041BE" w:rsidP="009041BE">
      <w:r w:rsidRPr="00D30EFA">
        <w:t>MaintainX 是 ADSK 于 FY2027（2026 年 8 月）收购的云设施维护管理（CMMS）软件，用来补齐"设计-建造-运营"闭环里长期缺失的"运营"环节，把客户关系从项目期延伸到 50–70 年的资产生命周期。</w:t>
      </w:r>
      <w:r>
        <w:rPr>
          <w:rFonts w:hint="eastAsia"/>
        </w:rPr>
        <w:t>管理层宣布未来4个季度单独披露Maintainx收入，同时停止单独披露Design/Make。</w:t>
      </w:r>
    </w:p>
    <w:p w14:paraId="2D824866" w14:textId="0EE04E0F" w:rsidR="003562BE" w:rsidRDefault="003562BE" w:rsidP="009041BE">
      <w:r>
        <w:rPr>
          <w:rFonts w:hint="eastAsia"/>
        </w:rPr>
        <w:t>账单增速12%-13%，在剔除汇率（略降）、新交易模型（降1%）后，有机增长贡献9%-10%的增速，MaintainX收购贡献1%的增速。</w:t>
      </w:r>
    </w:p>
    <w:p w14:paraId="02E2B72F" w14:textId="4E9A302F" w:rsidR="00F9104A" w:rsidRPr="00E54B60" w:rsidRDefault="009041BE">
      <w:r w:rsidRPr="009041BE">
        <w:rPr>
          <w:noProof/>
        </w:rPr>
        <w:lastRenderedPageBreak/>
        <w:drawing>
          <wp:inline distT="0" distB="0" distL="0" distR="0" wp14:anchorId="354725D2" wp14:editId="6B1A32E1">
            <wp:extent cx="6392333" cy="2671514"/>
            <wp:effectExtent l="0" t="0" r="0" b="0"/>
            <wp:docPr id="6054496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449627" name=""/>
                    <pic:cNvPicPr/>
                  </pic:nvPicPr>
                  <pic:blipFill>
                    <a:blip r:embed="rId21"/>
                    <a:stretch>
                      <a:fillRect/>
                    </a:stretch>
                  </pic:blipFill>
                  <pic:spPr>
                    <a:xfrm>
                      <a:off x="0" y="0"/>
                      <a:ext cx="6411129" cy="2679369"/>
                    </a:xfrm>
                    <a:prstGeom prst="rect">
                      <a:avLst/>
                    </a:prstGeom>
                  </pic:spPr>
                </pic:pic>
              </a:graphicData>
            </a:graphic>
          </wp:inline>
        </w:drawing>
      </w:r>
    </w:p>
    <w:p w14:paraId="581D95B4" w14:textId="151173B0" w:rsidR="00B53D8A" w:rsidRPr="00B53D8A" w:rsidRDefault="00B53D8A">
      <w:pPr>
        <w:rPr>
          <w:b/>
          <w:bCs/>
        </w:rPr>
      </w:pPr>
      <w:r w:rsidRPr="00B53D8A">
        <w:rPr>
          <w:rFonts w:hint="eastAsia"/>
          <w:b/>
          <w:bCs/>
        </w:rPr>
        <w:t>账单</w:t>
      </w:r>
      <w:r w:rsidR="00CE2C9B">
        <w:rPr>
          <w:rFonts w:hint="eastAsia"/>
          <w:b/>
          <w:bCs/>
        </w:rPr>
        <w:t>Billings</w:t>
      </w:r>
    </w:p>
    <w:p w14:paraId="213F3CF3" w14:textId="5AB259FD" w:rsidR="00614F90" w:rsidRDefault="00614F90">
      <w:r>
        <w:rPr>
          <w:rFonts w:hint="eastAsia"/>
        </w:rPr>
        <w:t>账单=当期总净收入+递延收入净变化。</w:t>
      </w:r>
      <w:r w:rsidR="0045016A">
        <w:rPr>
          <w:rFonts w:hint="eastAsia"/>
        </w:rPr>
        <w:t>账单反映的是当期真正签进来的业务量。逻辑如下。</w:t>
      </w:r>
    </w:p>
    <w:p w14:paraId="55BFB195" w14:textId="397AFCC6" w:rsidR="00614F90" w:rsidRDefault="00E64D46">
      <w:r w:rsidRPr="00E64D46">
        <w:rPr>
          <w:noProof/>
        </w:rPr>
        <w:drawing>
          <wp:inline distT="0" distB="0" distL="0" distR="0" wp14:anchorId="3E3FF838" wp14:editId="3467F54A">
            <wp:extent cx="6645910" cy="3029585"/>
            <wp:effectExtent l="0" t="0" r="0" b="5715"/>
            <wp:docPr id="2183992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399204" name=""/>
                    <pic:cNvPicPr/>
                  </pic:nvPicPr>
                  <pic:blipFill>
                    <a:blip r:embed="rId22"/>
                    <a:stretch>
                      <a:fillRect/>
                    </a:stretch>
                  </pic:blipFill>
                  <pic:spPr>
                    <a:xfrm>
                      <a:off x="0" y="0"/>
                      <a:ext cx="6645910" cy="3029585"/>
                    </a:xfrm>
                    <a:prstGeom prst="rect">
                      <a:avLst/>
                    </a:prstGeom>
                  </pic:spPr>
                </pic:pic>
              </a:graphicData>
            </a:graphic>
          </wp:inline>
        </w:drawing>
      </w:r>
    </w:p>
    <w:p w14:paraId="1BDE3F57" w14:textId="133C1893" w:rsidR="00614F90" w:rsidRDefault="00E64D46">
      <w:r w:rsidRPr="00E64D46">
        <w:t xml:space="preserve">Billings = 收入 +（新签 </w:t>
      </w:r>
      <w:r w:rsidRPr="00E64D46">
        <w:rPr>
          <w:rFonts w:ascii="Cambria Math" w:hAnsi="Cambria Math" w:cs="Cambria Math"/>
        </w:rPr>
        <w:t>−</w:t>
      </w:r>
      <w:r w:rsidRPr="00E64D46">
        <w:t xml:space="preserve"> 摊销）</w:t>
      </w:r>
      <w:r>
        <w:rPr>
          <w:rFonts w:hint="eastAsia"/>
        </w:rPr>
        <w:t>，而订阅模式下，收入≈摊销。因此Billings≈新签</w:t>
      </w:r>
      <w:r w:rsidR="00E54B60">
        <w:rPr>
          <w:rFonts w:hint="eastAsia"/>
        </w:rPr>
        <w:t>，账单是当期新签合同的现金口径。</w:t>
      </w:r>
    </w:p>
    <w:p w14:paraId="3545934C" w14:textId="0263793B" w:rsidR="00E46C5D" w:rsidRDefault="00E46C5D"/>
    <w:p w14:paraId="3D41100F" w14:textId="5C740C71" w:rsidR="00BD0AB2" w:rsidRDefault="00180D11">
      <w:r>
        <w:rPr>
          <w:rFonts w:hint="eastAsia"/>
        </w:rPr>
        <w:t>账单增速（12%-13%）反而低于收入增速（15%-16%），这对健康SaaS是反常的（正常情况下是新签快于确认）。原因有三个，全是主动/转型性的：</w:t>
      </w:r>
    </w:p>
    <w:p w14:paraId="1C110951" w14:textId="3A6BEBC7" w:rsidR="00180D11" w:rsidRDefault="00180D11" w:rsidP="00180D11">
      <w:pPr>
        <w:pStyle w:val="a9"/>
        <w:numPr>
          <w:ilvl w:val="0"/>
          <w:numId w:val="4"/>
        </w:numPr>
      </w:pPr>
      <w:r>
        <w:rPr>
          <w:rFonts w:hint="eastAsia"/>
        </w:rPr>
        <w:t>削减多年期折扣：砍长期合同折扣，短期账单少、未来单价高。</w:t>
      </w:r>
    </w:p>
    <w:p w14:paraId="4C7EE033" w14:textId="501E8C1B" w:rsidR="00180D11" w:rsidRDefault="00180D11" w:rsidP="00180D11">
      <w:pPr>
        <w:pStyle w:val="a9"/>
        <w:numPr>
          <w:ilvl w:val="0"/>
          <w:numId w:val="4"/>
        </w:numPr>
      </w:pPr>
      <w:r>
        <w:rPr>
          <w:rFonts w:hint="eastAsia"/>
        </w:rPr>
        <w:t>逐步终止多年期续约：客户从一次签多年改为一年一签，账单时间分布被压平。</w:t>
      </w:r>
    </w:p>
    <w:p w14:paraId="5A5CDD76" w14:textId="45E4372D" w:rsidR="00180D11" w:rsidRDefault="00180D11" w:rsidP="00180D11">
      <w:pPr>
        <w:pStyle w:val="a9"/>
        <w:numPr>
          <w:ilvl w:val="0"/>
          <w:numId w:val="4"/>
        </w:numPr>
      </w:pPr>
      <w:r>
        <w:rPr>
          <w:rFonts w:hint="eastAsia"/>
        </w:rPr>
        <w:t>年度账单转型：多年期合同从预付改年付，压低单期账单。</w:t>
      </w:r>
    </w:p>
    <w:p w14:paraId="3D870163" w14:textId="45F764BF" w:rsidR="00180D11" w:rsidRPr="00180D11" w:rsidRDefault="00180D11" w:rsidP="00180D11">
      <w:r>
        <w:rPr>
          <w:rFonts w:hint="eastAsia"/>
        </w:rPr>
        <w:t>带来的效果是压当期账单、抬未来单价。所以账单增速低是主动的，不是需求走弱。</w:t>
      </w:r>
    </w:p>
    <w:p w14:paraId="2A4EDDC5" w14:textId="77777777" w:rsidR="00BD0AB2" w:rsidRDefault="00BD0AB2"/>
    <w:p w14:paraId="1D910A79" w14:textId="4884E36D" w:rsidR="00C3350B" w:rsidRDefault="00881574">
      <w:r w:rsidRPr="00881574">
        <w:rPr>
          <w:noProof/>
        </w:rPr>
        <w:lastRenderedPageBreak/>
        <w:drawing>
          <wp:inline distT="0" distB="0" distL="0" distR="0" wp14:anchorId="2D159CD9" wp14:editId="18A49F5A">
            <wp:extent cx="4271827" cy="5113866"/>
            <wp:effectExtent l="0" t="0" r="0" b="4445"/>
            <wp:docPr id="13242734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273426" name=""/>
                    <pic:cNvPicPr/>
                  </pic:nvPicPr>
                  <pic:blipFill>
                    <a:blip r:embed="rId23"/>
                    <a:stretch>
                      <a:fillRect/>
                    </a:stretch>
                  </pic:blipFill>
                  <pic:spPr>
                    <a:xfrm>
                      <a:off x="0" y="0"/>
                      <a:ext cx="4289835" cy="5135423"/>
                    </a:xfrm>
                    <a:prstGeom prst="rect">
                      <a:avLst/>
                    </a:prstGeom>
                  </pic:spPr>
                </pic:pic>
              </a:graphicData>
            </a:graphic>
          </wp:inline>
        </w:drawing>
      </w:r>
    </w:p>
    <w:p w14:paraId="703651BE" w14:textId="1580B1E1" w:rsidR="00C3350B" w:rsidRDefault="007966C2">
      <w:r>
        <w:rPr>
          <w:rFonts w:ascii="Helvetica Neue" w:hAnsi="Helvetica Neue"/>
          <w:color w:val="333333"/>
          <w:shd w:val="clear" w:color="auto" w:fill="FFFFFF"/>
        </w:rPr>
        <w:t xml:space="preserve">FY2026 </w:t>
      </w:r>
      <w:r>
        <w:rPr>
          <w:rFonts w:ascii="Helvetica Neue" w:hAnsi="Helvetica Neue"/>
          <w:color w:val="333333"/>
          <w:shd w:val="clear" w:color="auto" w:fill="FFFFFF"/>
        </w:rPr>
        <w:t>的收入增长较强，但合并净利润仅同比增长</w:t>
      </w:r>
      <w:r>
        <w:rPr>
          <w:rFonts w:ascii="Helvetica Neue" w:hAnsi="Helvetica Neue"/>
          <w:color w:val="333333"/>
          <w:shd w:val="clear" w:color="auto" w:fill="FFFFFF"/>
        </w:rPr>
        <w:t xml:space="preserve"> 1.1%</w:t>
      </w:r>
      <w:r>
        <w:rPr>
          <w:rFonts w:ascii="Helvetica Neue" w:hAnsi="Helvetica Neue"/>
          <w:color w:val="333333"/>
          <w:shd w:val="clear" w:color="auto" w:fill="FFFFFF"/>
        </w:rPr>
        <w:t>，净利润率由</w:t>
      </w:r>
      <w:r>
        <w:rPr>
          <w:rFonts w:ascii="Helvetica Neue" w:hAnsi="Helvetica Neue"/>
          <w:color w:val="333333"/>
          <w:shd w:val="clear" w:color="auto" w:fill="FFFFFF"/>
        </w:rPr>
        <w:t xml:space="preserve"> FY2025 </w:t>
      </w:r>
      <w:r>
        <w:rPr>
          <w:rFonts w:ascii="Helvetica Neue" w:hAnsi="Helvetica Neue"/>
          <w:color w:val="333333"/>
          <w:shd w:val="clear" w:color="auto" w:fill="FFFFFF"/>
        </w:rPr>
        <w:t>的</w:t>
      </w:r>
      <w:r>
        <w:rPr>
          <w:rFonts w:ascii="Helvetica Neue" w:hAnsi="Helvetica Neue"/>
          <w:color w:val="333333"/>
          <w:shd w:val="clear" w:color="auto" w:fill="FFFFFF"/>
        </w:rPr>
        <w:t xml:space="preserve"> 18.1% </w:t>
      </w:r>
      <w:r>
        <w:rPr>
          <w:rFonts w:ascii="Helvetica Neue" w:hAnsi="Helvetica Neue"/>
          <w:color w:val="333333"/>
          <w:shd w:val="clear" w:color="auto" w:fill="FFFFFF"/>
        </w:rPr>
        <w:t>降至</w:t>
      </w:r>
      <w:r>
        <w:rPr>
          <w:rFonts w:ascii="Helvetica Neue" w:hAnsi="Helvetica Neue"/>
          <w:color w:val="333333"/>
          <w:shd w:val="clear" w:color="auto" w:fill="FFFFFF"/>
        </w:rPr>
        <w:t>15.6%</w:t>
      </w:r>
      <w:r>
        <w:rPr>
          <w:rFonts w:ascii="Helvetica Neue" w:hAnsi="Helvetica Neue"/>
          <w:color w:val="333333"/>
          <w:shd w:val="clear" w:color="auto" w:fill="FFFFFF"/>
        </w:rPr>
        <w:t>。主要原因集中在三个项目：所得税准备由</w:t>
      </w:r>
      <w:r>
        <w:rPr>
          <w:rFonts w:ascii="Helvetica Neue" w:hAnsi="Helvetica Neue"/>
          <w:color w:val="333333"/>
          <w:shd w:val="clear" w:color="auto" w:fill="FFFFFF"/>
        </w:rPr>
        <w:t xml:space="preserve"> </w:t>
      </w:r>
      <w:r w:rsidR="00BD59C8">
        <w:rPr>
          <w:rFonts w:ascii="Helvetica Neue" w:hAnsi="Helvetica Neue" w:hint="eastAsia"/>
          <w:color w:val="333333"/>
          <w:shd w:val="clear" w:color="auto" w:fill="FFFFFF"/>
        </w:rPr>
        <w:t>2.72</w:t>
      </w:r>
      <w:r w:rsidR="00BD59C8">
        <w:rPr>
          <w:rFonts w:ascii="Helvetica Neue" w:hAnsi="Helvetica Neue" w:hint="eastAsia"/>
          <w:color w:val="333333"/>
          <w:shd w:val="clear" w:color="auto" w:fill="FFFFFF"/>
        </w:rPr>
        <w:t>亿</w:t>
      </w:r>
      <w:r>
        <w:rPr>
          <w:rFonts w:ascii="Helvetica Neue" w:hAnsi="Helvetica Neue"/>
          <w:color w:val="333333"/>
          <w:shd w:val="clear" w:color="auto" w:fill="FFFFFF"/>
        </w:rPr>
        <w:t>美元增至</w:t>
      </w:r>
      <w:r w:rsidR="00BD59C8">
        <w:rPr>
          <w:rFonts w:ascii="Helvetica Neue" w:hAnsi="Helvetica Neue" w:hint="eastAsia"/>
          <w:color w:val="333333"/>
          <w:shd w:val="clear" w:color="auto" w:fill="FFFFFF"/>
        </w:rPr>
        <w:t>4.79</w:t>
      </w:r>
      <w:r w:rsidR="00BD59C8">
        <w:rPr>
          <w:rFonts w:ascii="Helvetica Neue" w:hAnsi="Helvetica Neue" w:hint="eastAsia"/>
          <w:color w:val="333333"/>
          <w:shd w:val="clear" w:color="auto" w:fill="FFFFFF"/>
        </w:rPr>
        <w:t>亿</w:t>
      </w:r>
      <w:r>
        <w:rPr>
          <w:rFonts w:ascii="Helvetica Neue" w:hAnsi="Helvetica Neue"/>
          <w:color w:val="333333"/>
          <w:shd w:val="clear" w:color="auto" w:fill="FFFFFF"/>
        </w:rPr>
        <w:t>美元；重组及设施相关费用由</w:t>
      </w:r>
      <w:r w:rsidR="008E4213">
        <w:rPr>
          <w:rFonts w:ascii="Helvetica Neue" w:hAnsi="Helvetica Neue" w:hint="eastAsia"/>
          <w:color w:val="333333"/>
          <w:shd w:val="clear" w:color="auto" w:fill="FFFFFF"/>
        </w:rPr>
        <w:t>1500</w:t>
      </w:r>
      <w:r>
        <w:rPr>
          <w:rFonts w:ascii="Helvetica Neue" w:hAnsi="Helvetica Neue"/>
          <w:color w:val="333333"/>
          <w:shd w:val="clear" w:color="auto" w:fill="FFFFFF"/>
        </w:rPr>
        <w:t>万美元增至</w:t>
      </w:r>
      <w:r w:rsidR="008E4213">
        <w:rPr>
          <w:rFonts w:ascii="Helvetica Neue" w:hAnsi="Helvetica Neue" w:hint="eastAsia"/>
          <w:color w:val="333333"/>
          <w:shd w:val="clear" w:color="auto" w:fill="FFFFFF"/>
        </w:rPr>
        <w:t>2.16</w:t>
      </w:r>
      <w:r w:rsidR="008E4213">
        <w:rPr>
          <w:rFonts w:ascii="Helvetica Neue" w:hAnsi="Helvetica Neue" w:hint="eastAsia"/>
          <w:color w:val="333333"/>
          <w:shd w:val="clear" w:color="auto" w:fill="FFFFFF"/>
        </w:rPr>
        <w:t>亿</w:t>
      </w:r>
      <w:r>
        <w:rPr>
          <w:rFonts w:ascii="Helvetica Neue" w:hAnsi="Helvetica Neue"/>
          <w:color w:val="333333"/>
          <w:shd w:val="clear" w:color="auto" w:fill="FFFFFF"/>
        </w:rPr>
        <w:t>美元；新交易模型相关成本由</w:t>
      </w:r>
      <w:r w:rsidR="00070834">
        <w:rPr>
          <w:rFonts w:ascii="Helvetica Neue" w:hAnsi="Helvetica Neue" w:hint="eastAsia"/>
          <w:color w:val="333333"/>
          <w:shd w:val="clear" w:color="auto" w:fill="FFFFFF"/>
        </w:rPr>
        <w:t>1.07</w:t>
      </w:r>
      <w:r w:rsidR="00070834">
        <w:rPr>
          <w:rFonts w:ascii="Helvetica Neue" w:hAnsi="Helvetica Neue" w:hint="eastAsia"/>
          <w:color w:val="333333"/>
          <w:shd w:val="clear" w:color="auto" w:fill="FFFFFF"/>
        </w:rPr>
        <w:t>亿</w:t>
      </w:r>
      <w:r>
        <w:rPr>
          <w:rFonts w:ascii="Helvetica Neue" w:hAnsi="Helvetica Neue"/>
          <w:color w:val="333333"/>
          <w:shd w:val="clear" w:color="auto" w:fill="FFFFFF"/>
        </w:rPr>
        <w:t>美元增至</w:t>
      </w:r>
      <w:r w:rsidR="00070834">
        <w:rPr>
          <w:rFonts w:ascii="Helvetica Neue" w:hAnsi="Helvetica Neue" w:hint="eastAsia"/>
          <w:color w:val="333333"/>
          <w:shd w:val="clear" w:color="auto" w:fill="FFFFFF"/>
        </w:rPr>
        <w:t>4.47</w:t>
      </w:r>
      <w:r w:rsidR="00070834">
        <w:rPr>
          <w:rFonts w:ascii="Helvetica Neue" w:hAnsi="Helvetica Neue" w:hint="eastAsia"/>
          <w:color w:val="333333"/>
          <w:shd w:val="clear" w:color="auto" w:fill="FFFFFF"/>
        </w:rPr>
        <w:t>亿</w:t>
      </w:r>
      <w:r>
        <w:rPr>
          <w:rFonts w:ascii="Helvetica Neue" w:hAnsi="Helvetica Neue"/>
          <w:color w:val="333333"/>
          <w:shd w:val="clear" w:color="auto" w:fill="FFFFFF"/>
        </w:rPr>
        <w:t>美元。</w:t>
      </w:r>
    </w:p>
    <w:p w14:paraId="43A35B6C" w14:textId="5C04EB6D" w:rsidR="00C3350B" w:rsidRDefault="005F0D80" w:rsidP="008D5EE9">
      <w:pPr>
        <w:pStyle w:val="2"/>
      </w:pPr>
      <w:r>
        <w:rPr>
          <w:rFonts w:hint="eastAsia"/>
        </w:rPr>
        <w:t>竞争优势</w:t>
      </w:r>
    </w:p>
    <w:p w14:paraId="3EC83F62" w14:textId="2757D5B2" w:rsidR="005F0D80" w:rsidRDefault="0075233E">
      <w:r w:rsidRPr="0075233E">
        <w:rPr>
          <w:noProof/>
        </w:rPr>
        <w:drawing>
          <wp:inline distT="0" distB="0" distL="0" distR="0" wp14:anchorId="4EAD4F8C" wp14:editId="6DFD24CF">
            <wp:extent cx="6645910" cy="2966085"/>
            <wp:effectExtent l="0" t="0" r="0" b="5715"/>
            <wp:docPr id="16020637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063772" name=""/>
                    <pic:cNvPicPr/>
                  </pic:nvPicPr>
                  <pic:blipFill>
                    <a:blip r:embed="rId24"/>
                    <a:stretch>
                      <a:fillRect/>
                    </a:stretch>
                  </pic:blipFill>
                  <pic:spPr>
                    <a:xfrm>
                      <a:off x="0" y="0"/>
                      <a:ext cx="6645910" cy="2966085"/>
                    </a:xfrm>
                    <a:prstGeom prst="rect">
                      <a:avLst/>
                    </a:prstGeom>
                  </pic:spPr>
                </pic:pic>
              </a:graphicData>
            </a:graphic>
          </wp:inline>
        </w:drawing>
      </w:r>
    </w:p>
    <w:p w14:paraId="137FA54C" w14:textId="0E86FDD9" w:rsidR="00B90EE0" w:rsidRPr="00B90EE0" w:rsidRDefault="00B90EE0" w:rsidP="003B47DD">
      <w:pPr>
        <w:rPr>
          <w:b/>
          <w:bCs/>
        </w:rPr>
      </w:pPr>
      <w:r w:rsidRPr="00B90EE0">
        <w:rPr>
          <w:rFonts w:hint="eastAsia"/>
          <w:b/>
          <w:bCs/>
        </w:rPr>
        <w:lastRenderedPageBreak/>
        <w:t>竞争对手</w:t>
      </w:r>
    </w:p>
    <w:p w14:paraId="44EC3802" w14:textId="3A6408CF" w:rsidR="0074599A" w:rsidRDefault="005C52C0" w:rsidP="003B47DD">
      <w:pPr>
        <w:rPr>
          <w:rFonts w:hint="eastAsia"/>
        </w:rPr>
      </w:pPr>
      <w:r w:rsidRPr="005C52C0">
        <w:t>Adobe、Bentley、Dassault Systèmes（含 SolidWorks）、Intergraph（Hexagon 子公司）、MSC Software、Nemetschek、Oracle、Procore、PTC、3D Systems、Siemens PLM、Trimble</w:t>
      </w:r>
      <w:r w:rsidR="00656EC2">
        <w:rPr>
          <w:rFonts w:hint="eastAsia"/>
        </w:rPr>
        <w:t>，以及客户自建、初创公司。</w:t>
      </w:r>
    </w:p>
    <w:p w14:paraId="47EDCB83" w14:textId="6C7B4E88" w:rsidR="003B47DD" w:rsidRDefault="0074599A" w:rsidP="003B47DD">
      <w:r>
        <w:t>Autodesk</w:t>
      </w:r>
      <w:r w:rsidRPr="0074599A">
        <w:t>的竞争壁垒是"跨赛道标准"</w:t>
      </w:r>
      <w:r>
        <w:rPr>
          <w:rFonts w:hint="eastAsia"/>
        </w:rPr>
        <w:t>，</w:t>
      </w:r>
      <w:r w:rsidRPr="0074599A">
        <w:t>真正的威胁不是传统对手，而是"AI 原生工具 + 客户自建"</w:t>
      </w:r>
      <w:r>
        <w:rPr>
          <w:rFonts w:hint="eastAsia"/>
        </w:rPr>
        <w:t>。</w:t>
      </w:r>
      <w:r w:rsidR="003F2810">
        <w:rPr>
          <w:rFonts w:hint="eastAsia"/>
        </w:rPr>
        <w:t>通过</w:t>
      </w:r>
      <w:r w:rsidR="003B47DD">
        <w:t>"数据 + 工作流 + 教育"三重锁定，换来真实定价权：它靠几十年客户付费工作流积累的海量 3D 数据、BIM 深度嵌入建筑实践、学校持续培养用户，站上多个垂直市场第一，因此 2025 年敢对存量续约提价 15%–21% 而不流失。</w:t>
      </w:r>
    </w:p>
    <w:p w14:paraId="56BBD2D6" w14:textId="032524A0" w:rsidR="00D62A65" w:rsidRDefault="00180809" w:rsidP="009B644B">
      <w:r w:rsidRPr="00180809">
        <w:t>制造 CAD/CAM 是</w:t>
      </w:r>
      <w:r w:rsidR="008109C4">
        <w:rPr>
          <w:rFonts w:hint="eastAsia"/>
        </w:rPr>
        <w:t>Autodesk</w:t>
      </w:r>
      <w:r w:rsidRPr="00180809">
        <w:t>唯一面临"正面硬仗"的赛道——达索的 SolidWorks（中小市场）和 CATIA（高端）、西门子的 NX（高端），都是实力强劲、资源更雄厚的对手。</w:t>
      </w:r>
    </w:p>
    <w:p w14:paraId="07ED1CD5" w14:textId="77777777" w:rsidR="00180809" w:rsidRDefault="00180809" w:rsidP="009B644B">
      <w:pPr>
        <w:rPr>
          <w:rFonts w:hint="eastAsia"/>
        </w:rPr>
      </w:pPr>
    </w:p>
    <w:p w14:paraId="01421A00" w14:textId="2ECF033C" w:rsidR="00C10232" w:rsidRPr="009B644B" w:rsidRDefault="00C10232" w:rsidP="009B644B">
      <w:pPr>
        <w:rPr>
          <w:b/>
          <w:bCs/>
        </w:rPr>
      </w:pPr>
      <w:r w:rsidRPr="009B644B">
        <w:rPr>
          <w:b/>
          <w:bCs/>
        </w:rPr>
        <w:t>客户切换成本</w:t>
      </w:r>
    </w:p>
    <w:p w14:paraId="63A51EDA" w14:textId="3B7E0D46" w:rsidR="002450C7" w:rsidRDefault="00C10232" w:rsidP="00715462">
      <w:pPr>
        <w:pStyle w:val="a9"/>
        <w:numPr>
          <w:ilvl w:val="0"/>
          <w:numId w:val="5"/>
        </w:numPr>
      </w:pPr>
      <w:r w:rsidRPr="00715462">
        <w:rPr>
          <w:b/>
          <w:bCs/>
        </w:rPr>
        <w:t>数据锁定</w:t>
      </w:r>
    </w:p>
    <w:p w14:paraId="7EB1CA28" w14:textId="476E0AE7" w:rsidR="00C10232" w:rsidRDefault="00C10232">
      <w:r w:rsidRPr="00C10232">
        <w:t>RBC Capital（2026 年 2 月）的框架是"</w:t>
      </w:r>
      <w:r w:rsidRPr="00C10232">
        <w:rPr>
          <w:rFonts w:ascii="Times New Roman" w:hAnsi="Times New Roman" w:cs="Times New Roman"/>
        </w:rPr>
        <w:t>​</w:t>
      </w:r>
      <w:r w:rsidRPr="00C10232">
        <w:t>10+ 年 curated 3D datasets"——竞争对手无法复制的不只是代码，是几百万个带工程语义标注的 3D 设计文件。这些文件产生于客户的付费工作流，不是公开网页能爬到的。</w:t>
      </w:r>
    </w:p>
    <w:p w14:paraId="54DD9D80" w14:textId="295560E7" w:rsidR="001563F7" w:rsidRDefault="001563F7" w:rsidP="00715462">
      <w:pPr>
        <w:pStyle w:val="a9"/>
        <w:numPr>
          <w:ilvl w:val="0"/>
          <w:numId w:val="5"/>
        </w:numPr>
      </w:pPr>
      <w:r w:rsidRPr="00715462">
        <w:rPr>
          <w:b/>
          <w:bCs/>
        </w:rPr>
        <w:t>工作流锁定</w:t>
      </w:r>
    </w:p>
    <w:p w14:paraId="357F9268" w14:textId="5F3D7C7D" w:rsidR="00C10232" w:rsidRDefault="001563F7">
      <w:r w:rsidRPr="001563F7">
        <w:t>Revit 的 BIM 工作流深嵌建筑实践——项目文件、族库、规范模板、承包商互操作要求都依赖 Revit 兼容性。切换成本按年计（重培训 + 文件迁移），不是按月计。</w:t>
      </w:r>
    </w:p>
    <w:p w14:paraId="7ED483CA" w14:textId="3A3BB76C" w:rsidR="00221EFE" w:rsidRDefault="00221EFE" w:rsidP="00715462">
      <w:pPr>
        <w:pStyle w:val="a9"/>
        <w:numPr>
          <w:ilvl w:val="0"/>
          <w:numId w:val="5"/>
        </w:numPr>
      </w:pPr>
      <w:r w:rsidRPr="00715462">
        <w:rPr>
          <w:b/>
          <w:bCs/>
        </w:rPr>
        <w:t>教育锁定</w:t>
      </w:r>
    </w:p>
    <w:p w14:paraId="48099B69" w14:textId="7A53E065" w:rsidR="00C10232" w:rsidRDefault="00221EFE">
      <w:r w:rsidRPr="00221EFE">
        <w:t>学校教 AutoCAD/Revit，毕业生入职自带技能，形成"雇主为存量技能付费"的自增强循环。这是 ADSK 四十年里最持久的护城河。</w:t>
      </w:r>
    </w:p>
    <w:p w14:paraId="6C5A8112" w14:textId="77777777" w:rsidR="00EC08EC" w:rsidRDefault="00EC08EC"/>
    <w:p w14:paraId="00DFCFE0" w14:textId="23EF34D0" w:rsidR="00C10232" w:rsidRDefault="00EC08EC">
      <w:r w:rsidRPr="00EC08EC">
        <w:t>但要同时看到反向证据：这个锁定的强度是不均匀的。AutoCAD（通用制图）切换成本相对低，最易被 AI 原生工具替代；Revit/BIM（责任、合规、承包商互操作）切换成本最高。所以"切换成本"要分产品看。</w:t>
      </w:r>
    </w:p>
    <w:p w14:paraId="6AD2AA63" w14:textId="77777777" w:rsidR="00B11B47" w:rsidRDefault="00B11B47"/>
    <w:p w14:paraId="52FD19DF" w14:textId="4609D301" w:rsidR="00B11B47" w:rsidRPr="00715462" w:rsidRDefault="00CD53AA" w:rsidP="009B644B">
      <w:pPr>
        <w:rPr>
          <w:b/>
          <w:bCs/>
        </w:rPr>
      </w:pPr>
      <w:r w:rsidRPr="00715462">
        <w:rPr>
          <w:rFonts w:hint="eastAsia"/>
          <w:b/>
          <w:bCs/>
        </w:rPr>
        <w:t>议价能力</w:t>
      </w:r>
    </w:p>
    <w:p w14:paraId="6ABA48C9" w14:textId="744FAFE1" w:rsidR="00B11B47" w:rsidRDefault="001A7870">
      <w:r w:rsidRPr="001A7870">
        <w:t>ADSK在2025年</w:t>
      </w:r>
      <w:r>
        <w:rPr>
          <w:rFonts w:hint="eastAsia"/>
        </w:rPr>
        <w:t>多次涨价</w:t>
      </w:r>
      <w:r w:rsidRPr="001A7870">
        <w:t>，</w:t>
      </w:r>
      <w:r>
        <w:rPr>
          <w:rFonts w:hint="eastAsia"/>
        </w:rPr>
        <w:t>而且</w:t>
      </w:r>
      <w:r w:rsidRPr="001A7870">
        <w:t>是分层、分时点的组合提价，对"存量续约"下手最重</w:t>
      </w:r>
      <w:r>
        <w:rPr>
          <w:rFonts w:hint="eastAsia"/>
        </w:rPr>
        <w:t>。</w:t>
      </w:r>
    </w:p>
    <w:p w14:paraId="218437D2" w14:textId="27DB48CD" w:rsidR="001A7870" w:rsidRPr="00C47136" w:rsidRDefault="00A84AB6">
      <w:pPr>
        <w:rPr>
          <w:b/>
          <w:bCs/>
        </w:rPr>
      </w:pPr>
      <w:r w:rsidRPr="00A84AB6">
        <w:rPr>
          <w:noProof/>
        </w:rPr>
        <w:lastRenderedPageBreak/>
        <w:drawing>
          <wp:inline distT="0" distB="0" distL="0" distR="0" wp14:anchorId="2284A782" wp14:editId="412B978D">
            <wp:extent cx="6645910" cy="2207260"/>
            <wp:effectExtent l="0" t="0" r="0" b="2540"/>
            <wp:docPr id="15363001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300160" name=""/>
                    <pic:cNvPicPr/>
                  </pic:nvPicPr>
                  <pic:blipFill>
                    <a:blip r:embed="rId25"/>
                    <a:stretch>
                      <a:fillRect/>
                    </a:stretch>
                  </pic:blipFill>
                  <pic:spPr>
                    <a:xfrm>
                      <a:off x="0" y="0"/>
                      <a:ext cx="6645910" cy="2207260"/>
                    </a:xfrm>
                    <a:prstGeom prst="rect">
                      <a:avLst/>
                    </a:prstGeom>
                  </pic:spPr>
                </pic:pic>
              </a:graphicData>
            </a:graphic>
          </wp:inline>
        </w:drawing>
      </w:r>
    </w:p>
    <w:p w14:paraId="3ABB62A2" w14:textId="15E979CA" w:rsidR="00C47136" w:rsidRPr="00C47136" w:rsidRDefault="00C47136" w:rsidP="00C47136">
      <w:pPr>
        <w:pStyle w:val="a9"/>
        <w:numPr>
          <w:ilvl w:val="0"/>
          <w:numId w:val="7"/>
        </w:numPr>
        <w:rPr>
          <w:b/>
          <w:bCs/>
        </w:rPr>
      </w:pPr>
      <w:r w:rsidRPr="00C47136">
        <w:rPr>
          <w:rFonts w:hint="eastAsia"/>
          <w:b/>
          <w:bCs/>
        </w:rPr>
        <w:t>涨价不对称</w:t>
      </w:r>
    </w:p>
    <w:p w14:paraId="56E4ED68" w14:textId="77777777" w:rsidR="001061B8" w:rsidRDefault="00C47136" w:rsidP="001061B8">
      <w:pPr>
        <w:ind w:firstLine="360"/>
      </w:pPr>
      <w:r w:rsidRPr="00C47136">
        <w:t>新订阅只涨 10%，但存量续约涨 15%–21%。这个不对称本身就是定价权的经典信号：对新客户（可流失、可比价）涨得少，对老客户（已锁定、迁移成本高）涨得多。</w:t>
      </w:r>
      <w:r w:rsidR="00581A86">
        <w:rPr>
          <w:rFonts w:hint="eastAsia"/>
        </w:rPr>
        <w:t>Autodesk</w:t>
      </w:r>
      <w:r w:rsidRPr="00C47136">
        <w:t>敢对老客户下更重的手，说明它判断"老客户走不掉"。</w:t>
      </w:r>
    </w:p>
    <w:p w14:paraId="33338E9F" w14:textId="04044F68" w:rsidR="00C47136" w:rsidRPr="002C279C" w:rsidRDefault="001061B8" w:rsidP="001061B8">
      <w:pPr>
        <w:pStyle w:val="a9"/>
        <w:numPr>
          <w:ilvl w:val="0"/>
          <w:numId w:val="7"/>
        </w:numPr>
        <w:rPr>
          <w:b/>
          <w:bCs/>
        </w:rPr>
      </w:pPr>
      <w:r w:rsidRPr="002C279C">
        <w:rPr>
          <w:rFonts w:hint="eastAsia"/>
          <w:b/>
          <w:bCs/>
        </w:rPr>
        <w:t>涨价没有引发流失</w:t>
      </w:r>
    </w:p>
    <w:p w14:paraId="1FA4E0AA" w14:textId="09329B52" w:rsidR="007C5E8F" w:rsidRDefault="00CF4E99" w:rsidP="004C54A9">
      <w:pPr>
        <w:ind w:firstLine="360"/>
      </w:pPr>
      <w:r>
        <w:rPr>
          <w:rFonts w:hint="eastAsia"/>
        </w:rPr>
        <w:t>27Q2</w:t>
      </w:r>
      <w:r w:rsidRPr="00CF4E99">
        <w:t>业绩会明确说"续约率保持强劲"</w:t>
      </w:r>
      <w:r>
        <w:rPr>
          <w:rFonts w:hint="eastAsia"/>
        </w:rPr>
        <w:t>，</w:t>
      </w:r>
      <w:r w:rsidRPr="00CF4E99">
        <w:t>FY2026收入 +17.5%、订阅收入 +18%</w:t>
      </w:r>
      <w:r>
        <w:rPr>
          <w:rFonts w:hint="eastAsia"/>
        </w:rPr>
        <w:t>，即使考虑到转型贡献，也不能判断用户大量流失真实发生。</w:t>
      </w:r>
      <w:r w:rsidR="00A5388F">
        <w:rPr>
          <w:rFonts w:hint="eastAsia"/>
        </w:rPr>
        <w:t>另外，</w:t>
      </w:r>
      <w:r w:rsidR="00A5388F" w:rsidRPr="00A5388F">
        <w:t>公司</w:t>
      </w:r>
      <w:r w:rsidR="00A5388F">
        <w:rPr>
          <w:rFonts w:hint="eastAsia"/>
        </w:rPr>
        <w:t>还在一边涨价</w:t>
      </w:r>
      <w:r w:rsidR="00A5388F" w:rsidRPr="00A5388F">
        <w:t>，</w:t>
      </w:r>
      <w:r w:rsidR="00A5388F">
        <w:rPr>
          <w:rFonts w:hint="eastAsia"/>
        </w:rPr>
        <w:t>一边</w:t>
      </w:r>
      <w:r w:rsidR="00A5388F" w:rsidRPr="00A5388F">
        <w:t>削减多年期折扣</w:t>
      </w:r>
      <w:r w:rsidR="00A5388F">
        <w:rPr>
          <w:rFonts w:hint="eastAsia"/>
        </w:rPr>
        <w:t>。</w:t>
      </w:r>
    </w:p>
    <w:p w14:paraId="55A6BAC2" w14:textId="77777777" w:rsidR="007C5E8F" w:rsidRDefault="007C5E8F"/>
    <w:p w14:paraId="7B3D84F0" w14:textId="46D0641B" w:rsidR="00715462" w:rsidRPr="00623CC0" w:rsidRDefault="009E2E3E">
      <w:pPr>
        <w:rPr>
          <w:b/>
          <w:bCs/>
        </w:rPr>
      </w:pPr>
      <w:r w:rsidRPr="009E2E3E">
        <w:rPr>
          <w:rFonts w:hint="eastAsia"/>
          <w:b/>
          <w:bCs/>
        </w:rPr>
        <w:t>份额与格局</w:t>
      </w:r>
    </w:p>
    <w:p w14:paraId="6A16AFA9" w14:textId="2DF2FBBA" w:rsidR="00715462" w:rsidRDefault="004A6A1A">
      <w:r w:rsidRPr="004A6A1A">
        <w:rPr>
          <w:noProof/>
        </w:rPr>
        <w:drawing>
          <wp:inline distT="0" distB="0" distL="0" distR="0" wp14:anchorId="5DAFE290" wp14:editId="5918D782">
            <wp:extent cx="6645910" cy="2218055"/>
            <wp:effectExtent l="0" t="0" r="0" b="4445"/>
            <wp:docPr id="4408923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892347" name=""/>
                    <pic:cNvPicPr/>
                  </pic:nvPicPr>
                  <pic:blipFill>
                    <a:blip r:embed="rId26"/>
                    <a:stretch>
                      <a:fillRect/>
                    </a:stretch>
                  </pic:blipFill>
                  <pic:spPr>
                    <a:xfrm>
                      <a:off x="0" y="0"/>
                      <a:ext cx="6645910" cy="2218055"/>
                    </a:xfrm>
                    <a:prstGeom prst="rect">
                      <a:avLst/>
                    </a:prstGeom>
                  </pic:spPr>
                </pic:pic>
              </a:graphicData>
            </a:graphic>
          </wp:inline>
        </w:drawing>
      </w:r>
    </w:p>
    <w:p w14:paraId="40793164" w14:textId="62896348" w:rsidR="00715462" w:rsidRDefault="00623CC0">
      <w:r>
        <w:rPr>
          <w:rFonts w:hint="eastAsia"/>
        </w:rPr>
        <w:t>Autodesk是</w:t>
      </w:r>
      <w:r w:rsidRPr="00623CC0">
        <w:t>多个垂直市场（CAD、BIM、3D 绘图）同时的第一；但竞争结构是寡头（Top4 占 65%），不是垄断——Dassault（SolidWorks/3DEXPERIENCE）、Siemens（NX）、PTC（Creo）在高制造端有真实制衡。</w:t>
      </w:r>
    </w:p>
    <w:p w14:paraId="5E9EDD08" w14:textId="77777777" w:rsidR="00A56685" w:rsidRDefault="00A56685">
      <w:pPr>
        <w:rPr>
          <w:b/>
          <w:bCs/>
        </w:rPr>
      </w:pPr>
    </w:p>
    <w:p w14:paraId="3EACEA42" w14:textId="464BA251" w:rsidR="00715462" w:rsidRPr="00A56685" w:rsidRDefault="00A56685">
      <w:pPr>
        <w:rPr>
          <w:b/>
          <w:bCs/>
        </w:rPr>
      </w:pPr>
      <w:r w:rsidRPr="00A56685">
        <w:rPr>
          <w:rFonts w:hint="eastAsia"/>
          <w:b/>
          <w:bCs/>
        </w:rPr>
        <w:t>生态与平台锁定</w:t>
      </w:r>
    </w:p>
    <w:p w14:paraId="584F2F26" w14:textId="273C992A" w:rsidR="006261CA" w:rsidRDefault="00203664" w:rsidP="00203664">
      <w:r w:rsidRPr="00203664">
        <w:t>4000个外部开发者（ISV、合作伙伴、客户的 IT 团队）</w:t>
      </w:r>
      <w:r w:rsidRPr="004C54A9">
        <w:rPr>
          <w:rFonts w:ascii="Times New Roman" w:hAnsi="Times New Roman" w:cs="Times New Roman"/>
        </w:rPr>
        <w:t>​</w:t>
      </w:r>
      <w:r w:rsidRPr="00203664">
        <w:t>基于ADSK的API（APS，Autodesk Platform Services）开发、上架到 ADSK App Store 的第三方应用</w:t>
      </w:r>
      <w:r>
        <w:rPr>
          <w:rFonts w:hint="eastAsia"/>
        </w:rPr>
        <w:t>；</w:t>
      </w:r>
    </w:p>
    <w:p w14:paraId="70D0B7F8" w14:textId="532A5622" w:rsidR="006261CA" w:rsidRDefault="006261CA" w:rsidP="006261CA">
      <w:r>
        <w:t>9 billion+ API调用量/年；</w:t>
      </w:r>
    </w:p>
    <w:p w14:paraId="2DD10037" w14:textId="77777777" w:rsidR="00715462" w:rsidRDefault="00715462"/>
    <w:p w14:paraId="2E870D56" w14:textId="22CA2C95" w:rsidR="005F0D80" w:rsidRPr="006261CA" w:rsidRDefault="006261CA">
      <w:pPr>
        <w:rPr>
          <w:b/>
          <w:bCs/>
        </w:rPr>
      </w:pPr>
      <w:r w:rsidRPr="006261CA">
        <w:rPr>
          <w:rFonts w:hint="eastAsia"/>
          <w:b/>
          <w:bCs/>
        </w:rPr>
        <w:t>AI可替代性</w:t>
      </w:r>
    </w:p>
    <w:p w14:paraId="56346BF3" w14:textId="1B6EDF64" w:rsidR="006261CA" w:rsidRDefault="002B733C">
      <w:r w:rsidRPr="002B733C">
        <w:rPr>
          <w:noProof/>
        </w:rPr>
        <w:drawing>
          <wp:inline distT="0" distB="0" distL="0" distR="0" wp14:anchorId="077CCDEF" wp14:editId="15BB61DA">
            <wp:extent cx="6645910" cy="2269490"/>
            <wp:effectExtent l="0" t="0" r="0" b="3810"/>
            <wp:docPr id="1961244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24498" name=""/>
                    <pic:cNvPicPr/>
                  </pic:nvPicPr>
                  <pic:blipFill>
                    <a:blip r:embed="rId27"/>
                    <a:stretch>
                      <a:fillRect/>
                    </a:stretch>
                  </pic:blipFill>
                  <pic:spPr>
                    <a:xfrm>
                      <a:off x="0" y="0"/>
                      <a:ext cx="6645910" cy="2269490"/>
                    </a:xfrm>
                    <a:prstGeom prst="rect">
                      <a:avLst/>
                    </a:prstGeom>
                  </pic:spPr>
                </pic:pic>
              </a:graphicData>
            </a:graphic>
          </wp:inline>
        </w:drawing>
      </w:r>
    </w:p>
    <w:p w14:paraId="0438BBEF" w14:textId="066440C2" w:rsidR="006261CA" w:rsidRDefault="00203664">
      <w:r w:rsidRPr="00203664">
        <w:t>要区分</w:t>
      </w:r>
      <w:r>
        <w:rPr>
          <w:rFonts w:hint="eastAsia"/>
        </w:rPr>
        <w:t>“</w:t>
      </w:r>
      <w:r w:rsidRPr="00203664">
        <w:t>AI自动化</w:t>
      </w:r>
      <w:r>
        <w:rPr>
          <w:rFonts w:hint="eastAsia"/>
        </w:rPr>
        <w:t>Autodesk</w:t>
      </w:r>
      <w:r w:rsidRPr="00203664">
        <w:t>的任务</w:t>
      </w:r>
      <w:r>
        <w:rPr>
          <w:rFonts w:hint="eastAsia"/>
        </w:rPr>
        <w:t>”和“</w:t>
      </w:r>
      <w:r w:rsidRPr="00203664">
        <w:t>AI取代ADSK成为工程系统of record</w:t>
      </w:r>
      <w:r>
        <w:rPr>
          <w:rFonts w:hint="eastAsia"/>
        </w:rPr>
        <w:t>”</w:t>
      </w:r>
      <w:r w:rsidRPr="00203664">
        <w:t>。前者正在发生（已看到）；后者未被证实（还没出现这样的公司）。</w:t>
      </w:r>
    </w:p>
    <w:p w14:paraId="316AFBDE" w14:textId="77777777" w:rsidR="002B733C" w:rsidRDefault="002B733C"/>
    <w:p w14:paraId="3087E9F0" w14:textId="7E9444DD" w:rsidR="005F0D80" w:rsidRPr="00D62A65" w:rsidRDefault="00E84F39" w:rsidP="00D62A65">
      <w:pPr>
        <w:pStyle w:val="2"/>
      </w:pPr>
      <w:r w:rsidRPr="00D62A65">
        <w:rPr>
          <w:rFonts w:hint="eastAsia"/>
        </w:rPr>
        <w:t>管理层</w:t>
      </w:r>
    </w:p>
    <w:p w14:paraId="79916196" w14:textId="27BA4794" w:rsidR="00517AD0" w:rsidRDefault="00517AD0" w:rsidP="00517AD0">
      <w:pPr>
        <w:rPr>
          <w:b/>
          <w:bCs/>
        </w:rPr>
      </w:pPr>
      <w:r w:rsidRPr="00D62A65">
        <w:rPr>
          <w:b/>
          <w:bCs/>
        </w:rPr>
        <w:t>摊薄风险</w:t>
      </w:r>
    </w:p>
    <w:p w14:paraId="586E96BB" w14:textId="677C9CDD" w:rsidR="00517AD0" w:rsidRPr="00D62A65" w:rsidRDefault="00517AD0" w:rsidP="00517AD0">
      <w:pPr>
        <w:rPr>
          <w:b/>
          <w:bCs/>
        </w:rPr>
      </w:pPr>
      <w:r w:rsidRPr="00E84F39">
        <w:rPr>
          <w:noProof/>
        </w:rPr>
        <w:drawing>
          <wp:inline distT="0" distB="0" distL="0" distR="0" wp14:anchorId="329AB8E2" wp14:editId="2C9C7BE3">
            <wp:extent cx="6645910" cy="2981960"/>
            <wp:effectExtent l="0" t="0" r="0" b="2540"/>
            <wp:docPr id="7072713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271339" name=""/>
                    <pic:cNvPicPr/>
                  </pic:nvPicPr>
                  <pic:blipFill>
                    <a:blip r:embed="rId28"/>
                    <a:stretch>
                      <a:fillRect/>
                    </a:stretch>
                  </pic:blipFill>
                  <pic:spPr>
                    <a:xfrm>
                      <a:off x="0" y="0"/>
                      <a:ext cx="6645910" cy="2981960"/>
                    </a:xfrm>
                    <a:prstGeom prst="rect">
                      <a:avLst/>
                    </a:prstGeom>
                  </pic:spPr>
                </pic:pic>
              </a:graphicData>
            </a:graphic>
          </wp:inline>
        </w:drawing>
      </w:r>
    </w:p>
    <w:p w14:paraId="5959C15C" w14:textId="77777777" w:rsidR="00517AD0" w:rsidRDefault="00517AD0" w:rsidP="00517AD0">
      <w:r w:rsidRPr="00611D0F">
        <w:rPr>
          <w:noProof/>
        </w:rPr>
        <w:lastRenderedPageBreak/>
        <w:drawing>
          <wp:inline distT="0" distB="0" distL="0" distR="0" wp14:anchorId="159B4C3D" wp14:editId="01C86B9F">
            <wp:extent cx="6645910" cy="2307590"/>
            <wp:effectExtent l="0" t="0" r="0" b="3810"/>
            <wp:docPr id="9281967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196792" name=""/>
                    <pic:cNvPicPr/>
                  </pic:nvPicPr>
                  <pic:blipFill>
                    <a:blip r:embed="rId29"/>
                    <a:stretch>
                      <a:fillRect/>
                    </a:stretch>
                  </pic:blipFill>
                  <pic:spPr>
                    <a:xfrm>
                      <a:off x="0" y="0"/>
                      <a:ext cx="6645910" cy="2307590"/>
                    </a:xfrm>
                    <a:prstGeom prst="rect">
                      <a:avLst/>
                    </a:prstGeom>
                  </pic:spPr>
                </pic:pic>
              </a:graphicData>
            </a:graphic>
          </wp:inline>
        </w:drawing>
      </w:r>
    </w:p>
    <w:p w14:paraId="635BC8A7" w14:textId="0293AFB6" w:rsidR="00517AD0" w:rsidRDefault="00517AD0" w:rsidP="00517AD0">
      <w:r w:rsidRPr="004B0929">
        <w:t>从股本数量看，FY2022 至 FY2026 加权平均摊薄股数仅由 222 百万股降至 215 百万股，五年净减少约 7 百万股</w:t>
      </w:r>
      <w:r w:rsidR="00A00E99">
        <w:rPr>
          <w:rFonts w:hint="eastAsia"/>
        </w:rPr>
        <w:t>，股本收缩速度大约每年0.6%</w:t>
      </w:r>
      <w:r w:rsidRPr="004B0929">
        <w:rPr>
          <w:rFonts w:hint="eastAsia"/>
        </w:rPr>
        <w:t>；</w:t>
      </w:r>
      <w:r w:rsidRPr="004B0929">
        <w:t>FY2025 至 FY2026 仅下降 2 百万股。这进一步说明大额回购并未带来同等幅度的股本收缩，股权激励发行和回购注销之间存在明显对冲。</w:t>
      </w:r>
    </w:p>
    <w:p w14:paraId="52D7D74F" w14:textId="532D8D87" w:rsidR="0014421C" w:rsidRDefault="0014421C"/>
    <w:p w14:paraId="6BD69A04" w14:textId="4DD445AE" w:rsidR="0014421C" w:rsidRPr="00811DE5" w:rsidRDefault="00811DE5">
      <w:pPr>
        <w:rPr>
          <w:b/>
          <w:bCs/>
        </w:rPr>
      </w:pPr>
      <w:r w:rsidRPr="00811DE5">
        <w:rPr>
          <w:rFonts w:hint="eastAsia"/>
          <w:b/>
          <w:bCs/>
        </w:rPr>
        <w:t>高管薪酬</w:t>
      </w:r>
    </w:p>
    <w:p w14:paraId="6777278E" w14:textId="2EF338FD" w:rsidR="00811DE5" w:rsidRDefault="00C64EA4">
      <w:r w:rsidRPr="00C64EA4">
        <w:rPr>
          <w:noProof/>
        </w:rPr>
        <w:drawing>
          <wp:inline distT="0" distB="0" distL="0" distR="0" wp14:anchorId="43DE0BA4" wp14:editId="1CFD54BE">
            <wp:extent cx="6645910" cy="2193290"/>
            <wp:effectExtent l="0" t="0" r="0" b="3810"/>
            <wp:docPr id="12816649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664963" name=""/>
                    <pic:cNvPicPr/>
                  </pic:nvPicPr>
                  <pic:blipFill>
                    <a:blip r:embed="rId30"/>
                    <a:stretch>
                      <a:fillRect/>
                    </a:stretch>
                  </pic:blipFill>
                  <pic:spPr>
                    <a:xfrm>
                      <a:off x="0" y="0"/>
                      <a:ext cx="6645910" cy="2193290"/>
                    </a:xfrm>
                    <a:prstGeom prst="rect">
                      <a:avLst/>
                    </a:prstGeom>
                  </pic:spPr>
                </pic:pic>
              </a:graphicData>
            </a:graphic>
          </wp:inline>
        </w:drawing>
      </w:r>
    </w:p>
    <w:p w14:paraId="0EDAC9E5" w14:textId="562D9B3A" w:rsidR="00C64EA4" w:rsidRDefault="008B3D89">
      <w:r w:rsidRPr="008B3D89">
        <w:t>CEO 薪酬三年持续上升（2,065 万→2,519 万→3,009 万），且 96% 的 CEO 目标薪酬是"可变/at-risk"</w:t>
      </w:r>
      <w:r w:rsidRPr="008B3D89">
        <w:rPr>
          <w:rFonts w:ascii="Times New Roman" w:hAnsi="Times New Roman" w:cs="Times New Roman"/>
        </w:rPr>
        <w:t>​</w:t>
      </w:r>
      <w:r w:rsidRPr="008B3D89">
        <w:t>（91% 是长期股权）。股权（PSU+RSU）是绝对主体，现金占比极小。FY2026 没有特殊一次性奖励（无 retention/sign-on 大额）。CFO Moorjani 是 FY2025 新任（有 $50 万 sign-on bonus，属正常新聘）。</w:t>
      </w:r>
    </w:p>
    <w:p w14:paraId="230C5FA8" w14:textId="4F4AAF44" w:rsidR="008B3D89" w:rsidRPr="008B3D89" w:rsidRDefault="008B3D89">
      <w:pPr>
        <w:rPr>
          <w:b/>
          <w:bCs/>
        </w:rPr>
      </w:pPr>
      <w:r w:rsidRPr="008B3D89">
        <w:rPr>
          <w:rFonts w:hint="eastAsia"/>
          <w:b/>
          <w:bCs/>
        </w:rPr>
        <w:t>激励设计</w:t>
      </w:r>
    </w:p>
    <w:p w14:paraId="1E196A1F" w14:textId="6348A95B" w:rsidR="00C64EA4" w:rsidRDefault="008B3D89">
      <w:r w:rsidRPr="008B3D89">
        <w:t>EIP（年度现金激励）指标：Revenue 60% + Non-GAAP Income from Operations 40%。FY2026 实际达成 110.1%。</w:t>
      </w:r>
    </w:p>
    <w:p w14:paraId="2FC52937" w14:textId="14D51458" w:rsidR="00B66355" w:rsidRPr="002D25DC" w:rsidRDefault="00613EB8">
      <w:r w:rsidRPr="00613EB8">
        <w:t xml:space="preserve">PSU（长期股权）指标：FY2026 起做了重大修改——把原来的 Free Cash Flow 指标，换成 “Non-GAAP Income from Operations less SBC Expense” </w:t>
      </w:r>
      <w:r w:rsidRPr="00613EB8">
        <w:rPr>
          <w:rFonts w:ascii="Times New Roman" w:hAnsi="Times New Roman" w:cs="Times New Roman"/>
        </w:rPr>
        <w:t>​</w:t>
      </w:r>
      <w:r w:rsidRPr="00613EB8">
        <w:t>（Revenue 60% + 该指标 40%）</w:t>
      </w:r>
      <w:r w:rsidR="00B66355">
        <w:rPr>
          <w:rFonts w:hint="eastAsia"/>
        </w:rPr>
        <w:t>，</w:t>
      </w:r>
      <w:r w:rsidR="00B66355" w:rsidRPr="00510D26">
        <w:t>SBC 支出超过预算，将直接压低 PSU 兑现</w:t>
      </w:r>
      <w:r w:rsidR="00B66355">
        <w:rPr>
          <w:rFonts w:hint="eastAsia"/>
        </w:rPr>
        <w:t>。</w:t>
      </w:r>
      <w:r w:rsidR="002D25DC">
        <w:rPr>
          <w:rFonts w:hint="eastAsia"/>
        </w:rPr>
        <w:t>且</w:t>
      </w:r>
      <w:r w:rsidR="002D25DC" w:rsidRPr="00A47F95">
        <w:t>FY2027 进</w:t>
      </w:r>
      <w:r w:rsidR="002D25DC">
        <w:rPr>
          <w:rFonts w:hint="eastAsia"/>
        </w:rPr>
        <w:t>一步修改，</w:t>
      </w:r>
      <w:r w:rsidR="002D25DC" w:rsidRPr="00A47F95">
        <w:t>PSU 的 Revenue 指标将换成 NNARR（净新增年度合同运转率）</w:t>
      </w:r>
      <w:r w:rsidR="002D25DC" w:rsidRPr="00A47F95">
        <w:rPr>
          <w:rFonts w:ascii="Times New Roman" w:hAnsi="Times New Roman" w:cs="Times New Roman"/>
        </w:rPr>
        <w:t>​</w:t>
      </w:r>
      <w:r w:rsidR="002D25DC" w:rsidRPr="00A47F95">
        <w:t>，理由是"NNARR 是未来收入增长的领先指标"、且"减少 EIP 与 PSU 的指标重叠"。</w:t>
      </w:r>
    </w:p>
    <w:p w14:paraId="0E19DF90" w14:textId="371BE675" w:rsidR="00997808" w:rsidRDefault="00613EB8">
      <w:r w:rsidRPr="00613EB8">
        <w:t>rTSR</w:t>
      </w:r>
      <w:r w:rsidR="00B66355">
        <w:rPr>
          <w:rFonts w:hint="eastAsia"/>
        </w:rPr>
        <w:t>：</w:t>
      </w:r>
      <w:r w:rsidRPr="00613EB8">
        <w:t>从 1/2/3 年改为单一 3 年，vesting 从 3 年 ratable 改为 3 年 cliff。</w:t>
      </w:r>
    </w:p>
    <w:p w14:paraId="61D50690" w14:textId="47238F23" w:rsidR="004051B2" w:rsidRDefault="00510D26">
      <w:r w:rsidRPr="00510D26">
        <w:t>管理层明确把"SBC 占收入比降至 10% 以下"设为目标。</w:t>
      </w:r>
      <w:r w:rsidR="00B66355" w:rsidRPr="00B66355">
        <w:t>管理层激励指标在主动向"SBC 纪律 + 领先指标</w:t>
      </w:r>
      <w:r w:rsidR="00B66355" w:rsidRPr="00B66355">
        <w:lastRenderedPageBreak/>
        <w:t>（NNARR）"迁移，这是"激励与口径闭环"的正面信号</w:t>
      </w:r>
    </w:p>
    <w:p w14:paraId="3DAFDC6C" w14:textId="77777777" w:rsidR="00463AEA" w:rsidRDefault="00463AEA" w:rsidP="00463AEA">
      <w:r>
        <w:rPr>
          <w:rFonts w:hint="eastAsia"/>
        </w:rPr>
        <w:t>值得注意的是，</w:t>
      </w:r>
      <w:r w:rsidRPr="00DC45C6">
        <w:t>"向好"的激励设计，部分是被股东逼出来的</w:t>
      </w:r>
      <w:r>
        <w:rPr>
          <w:rFonts w:hint="eastAsia"/>
        </w:rPr>
        <w:t>。</w:t>
      </w:r>
      <w:r w:rsidRPr="00DC45C6">
        <w:t>DEF 14A 的"Stockholder feedback"表写得很清楚：改 SBC 指标、改 NNARR，都是回应股东的具体投诉</w:t>
      </w:r>
    </w:p>
    <w:p w14:paraId="27E24465" w14:textId="77777777" w:rsidR="004051B2" w:rsidRDefault="004051B2"/>
    <w:p w14:paraId="796D5767" w14:textId="77777777" w:rsidR="007E364E" w:rsidRPr="007E364E" w:rsidRDefault="007E364E" w:rsidP="007E364E">
      <w:pPr>
        <w:rPr>
          <w:b/>
          <w:bCs/>
        </w:rPr>
      </w:pPr>
      <w:r w:rsidRPr="007E364E">
        <w:rPr>
          <w:b/>
          <w:bCs/>
        </w:rPr>
        <w:t>董事会与委员会结构</w:t>
      </w:r>
    </w:p>
    <w:p w14:paraId="04270CAC" w14:textId="187026E6" w:rsidR="007E364E" w:rsidRDefault="007E364E" w:rsidP="007E364E">
      <w:r>
        <w:t>11 名董事，除 CEO Anagnost 外全部独立（10/11）</w:t>
      </w:r>
      <w:r>
        <w:rPr>
          <w:rFonts w:ascii="Times New Roman" w:hAnsi="Times New Roman" w:cs="Times New Roman"/>
        </w:rPr>
        <w:t>​</w:t>
      </w:r>
      <w:r>
        <w:t>。</w:t>
      </w:r>
    </w:p>
    <w:p w14:paraId="691DCE51" w14:textId="77777777" w:rsidR="007E364E" w:rsidRDefault="007E364E" w:rsidP="007E364E">
      <w:r>
        <w:t>CEO 与 Chair 分离：Stacy J. Smith（Kioxia 执行主席）任 Non-Executive Chair，非执行主席另有 $75,000–100,000 额外报酬。</w:t>
      </w:r>
    </w:p>
    <w:p w14:paraId="3780DD3B" w14:textId="77777777" w:rsidR="007E364E" w:rsidRDefault="007E364E" w:rsidP="007E364E">
      <w:r>
        <w:t>三大委员会（审计/薪酬人力/治理提名）全部独立、全部独立主席。</w:t>
      </w:r>
    </w:p>
    <w:p w14:paraId="65B3F82C" w14:textId="77777777" w:rsidR="007E364E" w:rsidRDefault="007E364E" w:rsidP="007E364E">
      <w:r>
        <w:t>审计委员会 financial expert：Jeff Epstein（前 Oracle CFO）、Christie Simons（前 Deloitte 高级合伙人）等多人具备。</w:t>
      </w:r>
    </w:p>
    <w:p w14:paraId="2DC4FB32" w14:textId="4444A4B9" w:rsidR="00766972" w:rsidRDefault="007E364E" w:rsidP="007E364E">
      <w:r>
        <w:t>治理亮点：无 hedging/pledging、无期权 reprice、有 clawback、无固定期限雇佣合同、无 excise tax gross-up。</w:t>
      </w:r>
    </w:p>
    <w:p w14:paraId="13855C12" w14:textId="77777777" w:rsidR="00766972" w:rsidRPr="00766972" w:rsidRDefault="00766972"/>
    <w:p w14:paraId="2FDD9923" w14:textId="579F5B6C" w:rsidR="004051B2" w:rsidRPr="007E364E" w:rsidRDefault="007E364E">
      <w:pPr>
        <w:rPr>
          <w:b/>
          <w:bCs/>
        </w:rPr>
      </w:pPr>
      <w:r w:rsidRPr="007E364E">
        <w:rPr>
          <w:b/>
          <w:bCs/>
        </w:rPr>
        <w:t>持股与股权计划容量</w:t>
      </w:r>
    </w:p>
    <w:p w14:paraId="4AF81823" w14:textId="77777777" w:rsidR="002D25DC" w:rsidRDefault="002D25DC" w:rsidP="002D25DC">
      <w:r>
        <w:t>&gt;5% 股东：Vanguard 10.1%、BlackRock 9.1%（合计近 20%，典型被动机构集中）。</w:t>
      </w:r>
    </w:p>
    <w:p w14:paraId="2AC2D859" w14:textId="77777777" w:rsidR="002D25DC" w:rsidRDefault="002D25DC" w:rsidP="002D25DC">
      <w:r>
        <w:t>内部人持股极低：全体董事+高管 15 人合计仅 293,952 股，占比 &lt;1%。CEO 个人 115,159 股（&lt;0.1%）。</w:t>
      </w:r>
    </w:p>
    <w:p w14:paraId="0FF29BD0" w14:textId="77777777" w:rsidR="002D25DC" w:rsidRDefault="002D25DC" w:rsidP="002D25DC">
      <w:r>
        <w:t>股权计划容量：流通在外的期权/奖项 400 万股（加权行权价 $22.19），剩余可发行 2,700 万股（含 ESPP 300 万）。</w:t>
      </w:r>
    </w:p>
    <w:p w14:paraId="0162B7D1" w14:textId="695026FE" w:rsidR="00C64EA4" w:rsidRDefault="002D25DC" w:rsidP="002D25DC">
      <w:r>
        <w:t>摊薄信号：剩余额度 2,700 万 ÷ 流通股 2.11 亿 ≈ 12.8% overhang——偏高但可控。</w:t>
      </w:r>
    </w:p>
    <w:p w14:paraId="2AA00743" w14:textId="77777777" w:rsidR="002D25DC" w:rsidRDefault="002D25DC"/>
    <w:p w14:paraId="7BCD34A5" w14:textId="1D6CECCC" w:rsidR="0014421C" w:rsidRDefault="00CA5432" w:rsidP="00CA5432">
      <w:pPr>
        <w:pStyle w:val="2"/>
      </w:pPr>
      <w:r>
        <w:rPr>
          <w:rFonts w:hint="eastAsia"/>
        </w:rPr>
        <w:t>基本面分析</w:t>
      </w:r>
    </w:p>
    <w:p w14:paraId="116BE894" w14:textId="04C5AFA8" w:rsidR="0014421C" w:rsidRDefault="00A84308">
      <w:r w:rsidRPr="00A84308">
        <w:rPr>
          <w:noProof/>
        </w:rPr>
        <w:drawing>
          <wp:inline distT="0" distB="0" distL="0" distR="0" wp14:anchorId="2EF07F1F" wp14:editId="5C01035A">
            <wp:extent cx="5918200" cy="2476755"/>
            <wp:effectExtent l="0" t="0" r="0" b="0"/>
            <wp:docPr id="18951512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151276" name=""/>
                    <pic:cNvPicPr/>
                  </pic:nvPicPr>
                  <pic:blipFill>
                    <a:blip r:embed="rId31"/>
                    <a:stretch>
                      <a:fillRect/>
                    </a:stretch>
                  </pic:blipFill>
                  <pic:spPr>
                    <a:xfrm>
                      <a:off x="0" y="0"/>
                      <a:ext cx="5937222" cy="2484716"/>
                    </a:xfrm>
                    <a:prstGeom prst="rect">
                      <a:avLst/>
                    </a:prstGeom>
                  </pic:spPr>
                </pic:pic>
              </a:graphicData>
            </a:graphic>
          </wp:inline>
        </w:drawing>
      </w:r>
    </w:p>
    <w:p w14:paraId="7C3A8CD5" w14:textId="1896986C" w:rsidR="00096AFD" w:rsidRDefault="00096AFD">
      <w:r w:rsidRPr="00096AFD">
        <w:lastRenderedPageBreak/>
        <w:t>整体上，利润表呈现的是“高质量订阅收入+高毛利+较高经营杠杆”，但下方利润受税收、重组和股权激励相关项目干扰明显</w:t>
      </w:r>
      <w:r>
        <w:rPr>
          <w:rFonts w:hint="eastAsia"/>
        </w:rPr>
        <w:t>。</w:t>
      </w:r>
    </w:p>
    <w:p w14:paraId="13A7A705" w14:textId="027870C0" w:rsidR="0014421C" w:rsidRDefault="00452792">
      <w:r w:rsidRPr="00452792">
        <w:rPr>
          <w:noProof/>
        </w:rPr>
        <w:drawing>
          <wp:inline distT="0" distB="0" distL="0" distR="0" wp14:anchorId="618A22C8" wp14:editId="3C1CA8C0">
            <wp:extent cx="5571067" cy="3886865"/>
            <wp:effectExtent l="0" t="0" r="4445" b="0"/>
            <wp:docPr id="15858437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843738" name=""/>
                    <pic:cNvPicPr/>
                  </pic:nvPicPr>
                  <pic:blipFill>
                    <a:blip r:embed="rId32"/>
                    <a:stretch>
                      <a:fillRect/>
                    </a:stretch>
                  </pic:blipFill>
                  <pic:spPr>
                    <a:xfrm>
                      <a:off x="0" y="0"/>
                      <a:ext cx="5587032" cy="3898003"/>
                    </a:xfrm>
                    <a:prstGeom prst="rect">
                      <a:avLst/>
                    </a:prstGeom>
                  </pic:spPr>
                </pic:pic>
              </a:graphicData>
            </a:graphic>
          </wp:inline>
        </w:drawing>
      </w:r>
    </w:p>
    <w:p w14:paraId="3AF7408F" w14:textId="591C0536" w:rsidR="0014421C" w:rsidRDefault="00096AFD">
      <w:r w:rsidRPr="00096AFD">
        <w:t>资产端由现金和短期投资、应收账款、商誉及递延税资产共同构成。</w:t>
      </w:r>
      <w:r w:rsidR="00E03939" w:rsidRPr="00E03939">
        <w:t>应收账款净额从FY2025的</w:t>
      </w:r>
      <w:r w:rsidR="00E03939">
        <w:rPr>
          <w:rFonts w:hint="eastAsia"/>
        </w:rPr>
        <w:t>10.08亿</w:t>
      </w:r>
      <w:r w:rsidR="00E03939" w:rsidRPr="00E03939">
        <w:t>美元增至FY2026的</w:t>
      </w:r>
      <w:r w:rsidR="00E03939">
        <w:rPr>
          <w:rFonts w:hint="eastAsia"/>
        </w:rPr>
        <w:t>14.39亿</w:t>
      </w:r>
      <w:r w:rsidR="00E03939" w:rsidRPr="00E03939">
        <w:t>美元，同比增长42.8%，明显快于同期收入17.5%的增速，应作为回款质量的核心观察项。</w:t>
      </w:r>
    </w:p>
    <w:p w14:paraId="219038D1" w14:textId="09D8E192" w:rsidR="0014421C" w:rsidRDefault="0037418F">
      <w:r w:rsidRPr="0037418F">
        <w:t>负债端最大的单一项目是递延收入。资产负债表中列示的递延收入为流动部分口径，从FY2021的</w:t>
      </w:r>
      <w:r>
        <w:rPr>
          <w:rFonts w:hint="eastAsia"/>
        </w:rPr>
        <w:t>25亿</w:t>
      </w:r>
      <w:r w:rsidRPr="0037418F">
        <w:t>美元增至FY2026的</w:t>
      </w:r>
      <w:r>
        <w:rPr>
          <w:rFonts w:hint="eastAsia"/>
        </w:rPr>
        <w:t>44亿</w:t>
      </w:r>
      <w:r w:rsidRPr="0037418F">
        <w:t>美元，体现多年订阅和提前账单模式下合同负债的持续累积。流动负债合计持续高于流动资产合计，主要由递延收入推动，这使公司呈现负营运资本状态；但该负营运资本主要不是供应商占用，而是客户预付款形成的合同负债，与传统重资产企业的负营运资本含义不同。</w:t>
      </w:r>
    </w:p>
    <w:p w14:paraId="23908EDC" w14:textId="62813827" w:rsidR="0014421C" w:rsidRDefault="00E112FB">
      <w:r w:rsidRPr="00E112FB">
        <w:t>商誉从FY2021的</w:t>
      </w:r>
      <w:r>
        <w:rPr>
          <w:rFonts w:hint="eastAsia"/>
        </w:rPr>
        <w:t>27</w:t>
      </w:r>
      <w:r w:rsidRPr="00E112FB">
        <w:t>美元增至FY2026的</w:t>
      </w:r>
      <w:r>
        <w:rPr>
          <w:rFonts w:hint="eastAsia"/>
        </w:rPr>
        <w:t>43亿</w:t>
      </w:r>
      <w:r w:rsidRPr="00E112FB">
        <w:t>美元，主要来自连续并购。商誉占FY2026总资产约 34%，占股东权益的141%，是资产负债表中最需要关注的下行敏感项。一旦出现减值，将直接影响利润表和股东权益，但由于软件订阅现金流较强，短期内不构成流动性压力。</w:t>
      </w:r>
    </w:p>
    <w:p w14:paraId="5DF4037A" w14:textId="2C25F8AF" w:rsidR="0014421C" w:rsidRDefault="00763A79">
      <w:r w:rsidRPr="00763A79">
        <w:rPr>
          <w:noProof/>
        </w:rPr>
        <w:drawing>
          <wp:inline distT="0" distB="0" distL="0" distR="0" wp14:anchorId="47C21E60" wp14:editId="565D34E7">
            <wp:extent cx="6163733" cy="2409898"/>
            <wp:effectExtent l="0" t="0" r="0" b="3175"/>
            <wp:docPr id="20915701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570191" name=""/>
                    <pic:cNvPicPr/>
                  </pic:nvPicPr>
                  <pic:blipFill>
                    <a:blip r:embed="rId33"/>
                    <a:stretch>
                      <a:fillRect/>
                    </a:stretch>
                  </pic:blipFill>
                  <pic:spPr>
                    <a:xfrm>
                      <a:off x="0" y="0"/>
                      <a:ext cx="6185126" cy="2418262"/>
                    </a:xfrm>
                    <a:prstGeom prst="rect">
                      <a:avLst/>
                    </a:prstGeom>
                  </pic:spPr>
                </pic:pic>
              </a:graphicData>
            </a:graphic>
          </wp:inline>
        </w:drawing>
      </w:r>
    </w:p>
    <w:p w14:paraId="75DCE115" w14:textId="2B577C7B" w:rsidR="00A745B4" w:rsidRPr="00296D65" w:rsidRDefault="00A745B4" w:rsidP="00A745B4">
      <w:r>
        <w:lastRenderedPageBreak/>
        <w:t>经营现金流波动大于收入波动。FY2023经营现金流达到</w:t>
      </w:r>
      <w:r>
        <w:rPr>
          <w:rFonts w:hint="eastAsia"/>
        </w:rPr>
        <w:t>20.7亿</w:t>
      </w:r>
      <w:r>
        <w:t xml:space="preserve">美元，FY2024回落至 </w:t>
      </w:r>
      <w:r>
        <w:rPr>
          <w:rFonts w:hint="eastAsia"/>
        </w:rPr>
        <w:t>13亿</w:t>
      </w:r>
      <w:r>
        <w:t>美元，FY2026又升至</w:t>
      </w:r>
      <w:r>
        <w:rPr>
          <w:rFonts w:hint="eastAsia"/>
        </w:rPr>
        <w:t>24亿</w:t>
      </w:r>
      <w:r>
        <w:t>美元。该波动来自递延收入变化、合同获取成本摊销、营运资本变动以及税项时间差异的共同作用，不能简单用收入增长线性外推。FY2026经营现金流同比增长52.6%，显著高于净利润增速，是当年现金转换改善的核心信号。</w:t>
      </w:r>
    </w:p>
    <w:p w14:paraId="5000C356" w14:textId="323DE3BD" w:rsidR="00A745B4" w:rsidRDefault="00A745B4" w:rsidP="00A745B4">
      <w:r>
        <w:t>资本开支长期处于低位，这与公司以软件订阅和云服务为主的模式一致，表明维持性再投资需求较低。但资本开支低不等于所有再投资需求低：公司仍通过并购、战略投资和合同获取成本进行增长性投入，这些项目更多体现在投资活动现金流和经营费用中。</w:t>
      </w:r>
    </w:p>
    <w:p w14:paraId="3F9FC483" w14:textId="02A0BC56" w:rsidR="0014421C" w:rsidRDefault="00A745B4" w:rsidP="00A745B4">
      <w:r>
        <w:t>投资活动净额波动较大，FY2022因并购支出净流出</w:t>
      </w:r>
      <w:r w:rsidR="00296D65">
        <w:rPr>
          <w:rFonts w:hint="eastAsia"/>
        </w:rPr>
        <w:t>16亿</w:t>
      </w:r>
      <w:r>
        <w:t xml:space="preserve">美元，FY2025为 </w:t>
      </w:r>
      <w:r w:rsidR="00296D65">
        <w:rPr>
          <w:rFonts w:hint="eastAsia"/>
        </w:rPr>
        <w:t>9亿</w:t>
      </w:r>
      <w:r>
        <w:t>美元，FY2026回落至</w:t>
      </w:r>
      <w:r w:rsidR="00487FB5">
        <w:rPr>
          <w:rFonts w:hint="eastAsia"/>
        </w:rPr>
        <w:t>4.5亿</w:t>
      </w:r>
      <w:r>
        <w:t>美元。融资活动长期为净流出，主要由持续回购和债务净偿还主导。整体上，经营现金流足以覆盖资本开支和大部分股东回报，但回购强度与股权激励相关摊薄仍需要单独评估。</w:t>
      </w:r>
    </w:p>
    <w:p w14:paraId="69B5FEA2" w14:textId="7FE2EDAF" w:rsidR="0014421C" w:rsidRDefault="00735C2F">
      <w:r w:rsidRPr="00735C2F">
        <w:rPr>
          <w:noProof/>
        </w:rPr>
        <w:drawing>
          <wp:inline distT="0" distB="0" distL="0" distR="0" wp14:anchorId="3FC56103" wp14:editId="7A866863">
            <wp:extent cx="5198533" cy="1331671"/>
            <wp:effectExtent l="0" t="0" r="0" b="1905"/>
            <wp:docPr id="3207132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713260" name=""/>
                    <pic:cNvPicPr/>
                  </pic:nvPicPr>
                  <pic:blipFill>
                    <a:blip r:embed="rId34"/>
                    <a:stretch>
                      <a:fillRect/>
                    </a:stretch>
                  </pic:blipFill>
                  <pic:spPr>
                    <a:xfrm>
                      <a:off x="0" y="0"/>
                      <a:ext cx="5245156" cy="1343614"/>
                    </a:xfrm>
                    <a:prstGeom prst="rect">
                      <a:avLst/>
                    </a:prstGeom>
                  </pic:spPr>
                </pic:pic>
              </a:graphicData>
            </a:graphic>
          </wp:inline>
        </w:drawing>
      </w:r>
    </w:p>
    <w:p w14:paraId="5E09E9B5" w14:textId="53C6CC3B" w:rsidR="0014421C" w:rsidRDefault="006C1541">
      <w:r>
        <w:rPr>
          <w:rFonts w:ascii="Helvetica Neue" w:hAnsi="Helvetica Neue"/>
          <w:color w:val="333333"/>
          <w:shd w:val="clear" w:color="auto" w:fill="FFFFFF"/>
        </w:rPr>
        <w:t xml:space="preserve">FY2026 </w:t>
      </w:r>
      <w:r>
        <w:rPr>
          <w:rFonts w:ascii="Helvetica Neue" w:hAnsi="Helvetica Neue"/>
          <w:color w:val="333333"/>
          <w:shd w:val="clear" w:color="auto" w:fill="FFFFFF"/>
        </w:rPr>
        <w:t>收入增速上升与直接渠道占比跳升和销售激励会计处理变化同步发生</w:t>
      </w:r>
      <w:r>
        <w:rPr>
          <w:rFonts w:ascii="Helvetica Neue" w:hAnsi="Helvetica Neue" w:hint="eastAsia"/>
          <w:color w:val="333333"/>
          <w:shd w:val="clear" w:color="auto" w:fill="FFFFFF"/>
        </w:rPr>
        <w:t>，这种高增长是直接渠道转型的一次性顺风</w:t>
      </w:r>
      <w:r w:rsidRPr="006C1541">
        <w:t>。</w:t>
      </w:r>
    </w:p>
    <w:p w14:paraId="1A9D1C4E" w14:textId="63AA6B95" w:rsidR="00735C2F" w:rsidRPr="00C57D5A" w:rsidRDefault="00C57D5A">
      <w:r w:rsidRPr="00C57D5A">
        <w:rPr>
          <w:noProof/>
        </w:rPr>
        <w:drawing>
          <wp:inline distT="0" distB="0" distL="0" distR="0" wp14:anchorId="6D5D8BCE" wp14:editId="3BA95F78">
            <wp:extent cx="6451600" cy="2614297"/>
            <wp:effectExtent l="0" t="0" r="0" b="1905"/>
            <wp:docPr id="8344734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473402" name=""/>
                    <pic:cNvPicPr/>
                  </pic:nvPicPr>
                  <pic:blipFill>
                    <a:blip r:embed="rId35"/>
                    <a:stretch>
                      <a:fillRect/>
                    </a:stretch>
                  </pic:blipFill>
                  <pic:spPr>
                    <a:xfrm>
                      <a:off x="0" y="0"/>
                      <a:ext cx="6464048" cy="2619341"/>
                    </a:xfrm>
                    <a:prstGeom prst="rect">
                      <a:avLst/>
                    </a:prstGeom>
                  </pic:spPr>
                </pic:pic>
              </a:graphicData>
            </a:graphic>
          </wp:inline>
        </w:drawing>
      </w:r>
      <w:r w:rsidR="008C1F92">
        <w:rPr>
          <w:rFonts w:hint="eastAsia"/>
        </w:rPr>
        <w:t>+</w:t>
      </w:r>
      <w:r w:rsidR="008C1F92" w:rsidRPr="008C1F92">
        <w:rPr>
          <w:noProof/>
        </w:rPr>
        <w:t xml:space="preserve"> </w:t>
      </w:r>
      <w:r w:rsidR="008C1F92" w:rsidRPr="008C1F92">
        <w:rPr>
          <w:noProof/>
        </w:rPr>
        <w:drawing>
          <wp:inline distT="0" distB="0" distL="0" distR="0" wp14:anchorId="3862805C" wp14:editId="7ACD4524">
            <wp:extent cx="3106035" cy="2209800"/>
            <wp:effectExtent l="0" t="0" r="5715" b="0"/>
            <wp:docPr id="19576235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623515" name=""/>
                    <pic:cNvPicPr/>
                  </pic:nvPicPr>
                  <pic:blipFill>
                    <a:blip r:embed="rId36"/>
                    <a:stretch>
                      <a:fillRect/>
                    </a:stretch>
                  </pic:blipFill>
                  <pic:spPr>
                    <a:xfrm>
                      <a:off x="0" y="0"/>
                      <a:ext cx="3125728" cy="2223810"/>
                    </a:xfrm>
                    <a:prstGeom prst="rect">
                      <a:avLst/>
                    </a:prstGeom>
                  </pic:spPr>
                </pic:pic>
              </a:graphicData>
            </a:graphic>
          </wp:inline>
        </w:drawing>
      </w:r>
    </w:p>
    <w:p w14:paraId="5D3BDCA2" w14:textId="43547AC9" w:rsidR="00735C2F" w:rsidRDefault="00715081">
      <w:r>
        <w:rPr>
          <w:rFonts w:hint="eastAsia"/>
        </w:rPr>
        <w:lastRenderedPageBreak/>
        <w:t>Autodesk</w:t>
      </w:r>
      <w:r w:rsidRPr="00715081">
        <w:t>的经营杠杆质量是高的，但"兑现链"是断裂的——杠杆在毛利层充分释放，却在"重组（暂时）+ 税率（永久）+ SBC（持续）"三道关被层层削弱。</w:t>
      </w:r>
    </w:p>
    <w:p w14:paraId="048A8B92" w14:textId="0CC1C1B1" w:rsidR="00735C2F" w:rsidRDefault="009062E3">
      <w:r w:rsidRPr="009062E3">
        <w:rPr>
          <w:noProof/>
        </w:rPr>
        <w:drawing>
          <wp:inline distT="0" distB="0" distL="0" distR="0" wp14:anchorId="00306504" wp14:editId="21EF3F1F">
            <wp:extent cx="4741333" cy="3548072"/>
            <wp:effectExtent l="0" t="0" r="0" b="0"/>
            <wp:docPr id="11083981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398198" name=""/>
                    <pic:cNvPicPr/>
                  </pic:nvPicPr>
                  <pic:blipFill>
                    <a:blip r:embed="rId37"/>
                    <a:stretch>
                      <a:fillRect/>
                    </a:stretch>
                  </pic:blipFill>
                  <pic:spPr>
                    <a:xfrm>
                      <a:off x="0" y="0"/>
                      <a:ext cx="4769353" cy="3569040"/>
                    </a:xfrm>
                    <a:prstGeom prst="rect">
                      <a:avLst/>
                    </a:prstGeom>
                  </pic:spPr>
                </pic:pic>
              </a:graphicData>
            </a:graphic>
          </wp:inline>
        </w:drawing>
      </w:r>
    </w:p>
    <w:p w14:paraId="2717203D" w14:textId="57F832E6" w:rsidR="00735C2F" w:rsidRDefault="003F33B3">
      <w:r w:rsidRPr="003F33B3">
        <w:rPr>
          <w:noProof/>
        </w:rPr>
        <w:drawing>
          <wp:inline distT="0" distB="0" distL="0" distR="0" wp14:anchorId="67C589DA" wp14:editId="594DC4DB">
            <wp:extent cx="6002867" cy="1079438"/>
            <wp:effectExtent l="0" t="0" r="0" b="635"/>
            <wp:docPr id="21186530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653074" name=""/>
                    <pic:cNvPicPr/>
                  </pic:nvPicPr>
                  <pic:blipFill>
                    <a:blip r:embed="rId38"/>
                    <a:stretch>
                      <a:fillRect/>
                    </a:stretch>
                  </pic:blipFill>
                  <pic:spPr>
                    <a:xfrm>
                      <a:off x="0" y="0"/>
                      <a:ext cx="6042750" cy="1086610"/>
                    </a:xfrm>
                    <a:prstGeom prst="rect">
                      <a:avLst/>
                    </a:prstGeom>
                  </pic:spPr>
                </pic:pic>
              </a:graphicData>
            </a:graphic>
          </wp:inline>
        </w:drawing>
      </w:r>
    </w:p>
    <w:p w14:paraId="579AADC9" w14:textId="39A30CD0" w:rsidR="00735C2F" w:rsidRDefault="002F51EF">
      <w:r>
        <w:rPr>
          <w:rFonts w:hint="eastAsia"/>
        </w:rPr>
        <w:t>Autodesk</w:t>
      </w:r>
      <w:r>
        <w:t>的现金流是“量足、质折、波动由计费节奏决定”——名义FCF利润率33.4%里约10个点来自SBC 加回（真实业主盈余仅 23.9%），再扣掉回购+净结算税的防稀释支出后只剩 12.6%，而 OCF 每年 ±40–50% 的剧烈波动全是“递延收入计费时点”（多年期预付改年付、NTM 计费切换）造成的，不是经营强弱；唯一值得记住的真实改善是 FY2026 回购/SBC 五年来首次回到 1.78x 的“真回购”区间、且 SBC 占收入从 13.9% 降到 11.6%。</w:t>
      </w:r>
    </w:p>
    <w:p w14:paraId="69D2BEED" w14:textId="63F1464B" w:rsidR="00735C2F" w:rsidRDefault="005A5556">
      <w:r w:rsidRPr="005A5556">
        <w:rPr>
          <w:noProof/>
        </w:rPr>
        <w:lastRenderedPageBreak/>
        <w:drawing>
          <wp:inline distT="0" distB="0" distL="0" distR="0" wp14:anchorId="3A229E30" wp14:editId="6A2DDE65">
            <wp:extent cx="4985953" cy="3124200"/>
            <wp:effectExtent l="0" t="0" r="5715" b="0"/>
            <wp:docPr id="2263374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337401" name=""/>
                    <pic:cNvPicPr/>
                  </pic:nvPicPr>
                  <pic:blipFill>
                    <a:blip r:embed="rId39"/>
                    <a:stretch>
                      <a:fillRect/>
                    </a:stretch>
                  </pic:blipFill>
                  <pic:spPr>
                    <a:xfrm>
                      <a:off x="0" y="0"/>
                      <a:ext cx="5022375" cy="3147022"/>
                    </a:xfrm>
                    <a:prstGeom prst="rect">
                      <a:avLst/>
                    </a:prstGeom>
                  </pic:spPr>
                </pic:pic>
              </a:graphicData>
            </a:graphic>
          </wp:inline>
        </w:drawing>
      </w:r>
    </w:p>
    <w:p w14:paraId="5E46A3DE" w14:textId="554474BA" w:rsidR="00C3350B" w:rsidRDefault="00737D36">
      <w:r>
        <w:rPr>
          <w:rFonts w:hint="eastAsia"/>
        </w:rPr>
        <w:t>FY2026年的异动主要由直接渠道转型影响。</w:t>
      </w:r>
    </w:p>
    <w:p w14:paraId="1C7D69F2" w14:textId="266426A4" w:rsidR="00C3350B" w:rsidRDefault="00737D36">
      <w:r w:rsidRPr="00737D36">
        <w:rPr>
          <w:noProof/>
        </w:rPr>
        <w:drawing>
          <wp:inline distT="0" distB="0" distL="0" distR="0" wp14:anchorId="6B2B1ECB" wp14:editId="4F01793A">
            <wp:extent cx="5037667" cy="2699816"/>
            <wp:effectExtent l="0" t="0" r="4445" b="5715"/>
            <wp:docPr id="1230179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17994" name=""/>
                    <pic:cNvPicPr/>
                  </pic:nvPicPr>
                  <pic:blipFill>
                    <a:blip r:embed="rId40"/>
                    <a:stretch>
                      <a:fillRect/>
                    </a:stretch>
                  </pic:blipFill>
                  <pic:spPr>
                    <a:xfrm>
                      <a:off x="0" y="0"/>
                      <a:ext cx="5058220" cy="2710831"/>
                    </a:xfrm>
                    <a:prstGeom prst="rect">
                      <a:avLst/>
                    </a:prstGeom>
                  </pic:spPr>
                </pic:pic>
              </a:graphicData>
            </a:graphic>
          </wp:inline>
        </w:drawing>
      </w:r>
    </w:p>
    <w:p w14:paraId="3008DD01" w14:textId="473F254C" w:rsidR="003A27DE" w:rsidRDefault="004E220B">
      <w:r>
        <w:rPr>
          <w:rFonts w:ascii="Helvetica Neue" w:hAnsi="Helvetica Neue"/>
          <w:color w:val="333333"/>
          <w:shd w:val="clear" w:color="auto" w:fill="FFFFFF"/>
        </w:rPr>
        <w:t xml:space="preserve">ROIC </w:t>
      </w:r>
      <w:r>
        <w:rPr>
          <w:rFonts w:ascii="Helvetica Neue" w:hAnsi="Helvetica Neue"/>
          <w:color w:val="333333"/>
          <w:shd w:val="clear" w:color="auto" w:fill="FFFFFF"/>
        </w:rPr>
        <w:t>在</w:t>
      </w:r>
      <w:r>
        <w:rPr>
          <w:rFonts w:ascii="Helvetica Neue" w:hAnsi="Helvetica Neue"/>
          <w:color w:val="333333"/>
          <w:shd w:val="clear" w:color="auto" w:fill="FFFFFF"/>
        </w:rPr>
        <w:t xml:space="preserve"> 12.1%–13.5% </w:t>
      </w:r>
      <w:r>
        <w:rPr>
          <w:rFonts w:ascii="Helvetica Neue" w:hAnsi="Helvetica Neue"/>
          <w:color w:val="333333"/>
          <w:shd w:val="clear" w:color="auto" w:fill="FFFFFF"/>
        </w:rPr>
        <w:t>之间，明显低于表面毛利率所暗示的水平。原因是资本占用中包含大额商誉、无形资产和递延税资产，以及历史上的并购成本。</w:t>
      </w:r>
    </w:p>
    <w:p w14:paraId="0261FC44" w14:textId="1180E350" w:rsidR="003A27DE" w:rsidRDefault="004E220B">
      <w:r>
        <w:rPr>
          <w:rFonts w:ascii="Helvetica Neue" w:hAnsi="Helvetica Neue"/>
          <w:color w:val="333333"/>
          <w:shd w:val="clear" w:color="auto" w:fill="FFFFFF"/>
        </w:rPr>
        <w:t>公司无常规现金分红，主要股东回报工具为回购</w:t>
      </w:r>
      <w:r w:rsidR="00D37521">
        <w:rPr>
          <w:rFonts w:ascii="Helvetica Neue" w:hAnsi="Helvetica Neue" w:hint="eastAsia"/>
          <w:color w:val="333333"/>
          <w:shd w:val="clear" w:color="auto" w:fill="FFFFFF"/>
        </w:rPr>
        <w:t>，但大部分用于抵消</w:t>
      </w:r>
      <w:r w:rsidR="00D37521">
        <w:rPr>
          <w:rFonts w:ascii="Helvetica Neue" w:hAnsi="Helvetica Neue" w:hint="eastAsia"/>
          <w:color w:val="333333"/>
          <w:shd w:val="clear" w:color="auto" w:fill="FFFFFF"/>
        </w:rPr>
        <w:t>SBC</w:t>
      </w:r>
      <w:r>
        <w:rPr>
          <w:rFonts w:ascii="Helvetica Neue" w:hAnsi="Helvetica Neue"/>
          <w:color w:val="333333"/>
          <w:shd w:val="clear" w:color="auto" w:fill="FFFFFF"/>
        </w:rPr>
        <w:t>。</w:t>
      </w:r>
    </w:p>
    <w:p w14:paraId="0FD321EF" w14:textId="60F25D4F" w:rsidR="003A27DE" w:rsidRDefault="000B111D">
      <w:r w:rsidRPr="000B111D">
        <w:rPr>
          <w:noProof/>
        </w:rPr>
        <w:drawing>
          <wp:inline distT="0" distB="0" distL="0" distR="0" wp14:anchorId="4CF27DA9" wp14:editId="2BDBEF28">
            <wp:extent cx="4526159" cy="2286000"/>
            <wp:effectExtent l="0" t="0" r="0" b="0"/>
            <wp:docPr id="11911892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189211" name=""/>
                    <pic:cNvPicPr/>
                  </pic:nvPicPr>
                  <pic:blipFill>
                    <a:blip r:embed="rId41"/>
                    <a:stretch>
                      <a:fillRect/>
                    </a:stretch>
                  </pic:blipFill>
                  <pic:spPr>
                    <a:xfrm>
                      <a:off x="0" y="0"/>
                      <a:ext cx="4550697" cy="2298393"/>
                    </a:xfrm>
                    <a:prstGeom prst="rect">
                      <a:avLst/>
                    </a:prstGeom>
                  </pic:spPr>
                </pic:pic>
              </a:graphicData>
            </a:graphic>
          </wp:inline>
        </w:drawing>
      </w:r>
    </w:p>
    <w:p w14:paraId="1D23EB9F" w14:textId="6177C1A1" w:rsidR="003A27DE" w:rsidRDefault="00322E8E">
      <w:r>
        <w:rPr>
          <w:rFonts w:ascii="Helvetica Neue" w:hAnsi="Helvetica Neue"/>
          <w:color w:val="333333"/>
          <w:shd w:val="clear" w:color="auto" w:fill="FFFFFF"/>
        </w:rPr>
        <w:lastRenderedPageBreak/>
        <w:t>公司债务结构以长期应付票据为主，短期再融资压力较低，满足持续回购和战略投资所需的基本流动性。</w:t>
      </w:r>
    </w:p>
    <w:p w14:paraId="20D37458" w14:textId="77777777" w:rsidR="003A27DE" w:rsidRPr="00322E8E" w:rsidRDefault="003A27DE"/>
    <w:p w14:paraId="3BC8AC2A" w14:textId="5F04FE43" w:rsidR="003A27DE" w:rsidRDefault="007D5E57" w:rsidP="007D5E57">
      <w:pPr>
        <w:pStyle w:val="2"/>
      </w:pPr>
      <w:r>
        <w:rPr>
          <w:rFonts w:hint="eastAsia"/>
        </w:rPr>
        <w:t>估值</w:t>
      </w:r>
    </w:p>
    <w:p w14:paraId="35ABFB22" w14:textId="731C1FB8" w:rsidR="003A27DE" w:rsidRDefault="00AF1052">
      <w:r w:rsidRPr="00AF1052">
        <w:rPr>
          <w:noProof/>
        </w:rPr>
        <w:drawing>
          <wp:inline distT="0" distB="0" distL="0" distR="0" wp14:anchorId="18F9D513" wp14:editId="50CE8854">
            <wp:extent cx="6645910" cy="1816735"/>
            <wp:effectExtent l="0" t="0" r="0" b="0"/>
            <wp:docPr id="9138975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897596" name=""/>
                    <pic:cNvPicPr/>
                  </pic:nvPicPr>
                  <pic:blipFill>
                    <a:blip r:embed="rId42"/>
                    <a:stretch>
                      <a:fillRect/>
                    </a:stretch>
                  </pic:blipFill>
                  <pic:spPr>
                    <a:xfrm>
                      <a:off x="0" y="0"/>
                      <a:ext cx="6645910" cy="1816735"/>
                    </a:xfrm>
                    <a:prstGeom prst="rect">
                      <a:avLst/>
                    </a:prstGeom>
                  </pic:spPr>
                </pic:pic>
              </a:graphicData>
            </a:graphic>
          </wp:inline>
        </w:drawing>
      </w:r>
    </w:p>
    <w:p w14:paraId="708107FD" w14:textId="5A434A63" w:rsidR="00C56A71" w:rsidRDefault="00A00963">
      <w:r w:rsidRPr="00A00963">
        <w:rPr>
          <w:noProof/>
        </w:rPr>
        <w:drawing>
          <wp:inline distT="0" distB="0" distL="0" distR="0" wp14:anchorId="62898DFB" wp14:editId="1F6C4410">
            <wp:extent cx="6189133" cy="3042527"/>
            <wp:effectExtent l="0" t="0" r="0" b="5715"/>
            <wp:docPr id="13539703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970373" name=""/>
                    <pic:cNvPicPr/>
                  </pic:nvPicPr>
                  <pic:blipFill>
                    <a:blip r:embed="rId43"/>
                    <a:stretch>
                      <a:fillRect/>
                    </a:stretch>
                  </pic:blipFill>
                  <pic:spPr>
                    <a:xfrm>
                      <a:off x="0" y="0"/>
                      <a:ext cx="6208980" cy="3052284"/>
                    </a:xfrm>
                    <a:prstGeom prst="rect">
                      <a:avLst/>
                    </a:prstGeom>
                  </pic:spPr>
                </pic:pic>
              </a:graphicData>
            </a:graphic>
          </wp:inline>
        </w:drawing>
      </w:r>
    </w:p>
    <w:p w14:paraId="7906920A" w14:textId="6318743A" w:rsidR="005B27B8" w:rsidRDefault="00C42B9F">
      <w:r>
        <w:rPr>
          <w:rFonts w:hint="eastAsia"/>
        </w:rPr>
        <w:t>Autodesk当前的GAAP TTM PE约29x，处于2016年以来的历史30%分位，历史中位数51.7%。</w:t>
      </w:r>
    </w:p>
    <w:p w14:paraId="0E023F0D" w14:textId="3AA793DF" w:rsidR="00C42B9F" w:rsidRDefault="008D4CDF">
      <w:r>
        <w:rPr>
          <w:rFonts w:hint="eastAsia"/>
        </w:rPr>
        <w:t>Non-GAAP FY2026口径的PE是22x（SBC占</w:t>
      </w:r>
      <w:r w:rsidRPr="008D4CDF">
        <w:t>GAAP</w:t>
      </w:r>
      <w:r>
        <w:rPr>
          <w:rFonts w:hint="eastAsia"/>
        </w:rPr>
        <w:t>调整至</w:t>
      </w:r>
      <w:r w:rsidRPr="008D4CDF">
        <w:t>Non-GAAP</w:t>
      </w:r>
      <w:r>
        <w:rPr>
          <w:rFonts w:hint="eastAsia"/>
        </w:rPr>
        <w:t>的</w:t>
      </w:r>
      <w:r w:rsidRPr="008D4CDF">
        <w:t>70%</w:t>
      </w:r>
      <w:r>
        <w:rPr>
          <w:rFonts w:hint="eastAsia"/>
        </w:rPr>
        <w:t>）。</w:t>
      </w:r>
    </w:p>
    <w:p w14:paraId="06877EA4" w14:textId="77777777" w:rsidR="00A00963" w:rsidRDefault="00A00963"/>
    <w:p w14:paraId="028499FB" w14:textId="77777777" w:rsidR="00E12075" w:rsidRDefault="002058D1">
      <w:r>
        <w:rPr>
          <w:rFonts w:hint="eastAsia"/>
        </w:rPr>
        <w:t>管理层在业绩会上</w:t>
      </w:r>
      <w:r w:rsidR="00AB4B35">
        <w:rPr>
          <w:rFonts w:hint="eastAsia"/>
        </w:rPr>
        <w:t>给出</w:t>
      </w:r>
      <w:r w:rsidR="00B15D1A">
        <w:rPr>
          <w:rFonts w:hint="eastAsia"/>
        </w:rPr>
        <w:t>FY27</w:t>
      </w:r>
      <w:r w:rsidR="00521E7E">
        <w:rPr>
          <w:rFonts w:hint="eastAsia"/>
        </w:rPr>
        <w:t>总净收入增速指引为15%</w:t>
      </w:r>
      <w:r w:rsidR="0067726A">
        <w:rPr>
          <w:rFonts w:hint="eastAsia"/>
        </w:rPr>
        <w:t>，有机账单增速指引为9%-10%</w:t>
      </w:r>
      <w:r w:rsidR="00521E7E">
        <w:rPr>
          <w:rFonts w:hint="eastAsia"/>
        </w:rPr>
        <w:t>。</w:t>
      </w:r>
      <w:r w:rsidR="00E12075">
        <w:rPr>
          <w:rFonts w:hint="eastAsia"/>
        </w:rPr>
        <w:t>但</w:t>
      </w:r>
      <w:r w:rsidR="00E12075" w:rsidRPr="00E12075">
        <w:t>FY27 是史上最大EBA续约队列，这个高基数意味着FY28的有机账单增速可能还要再降</w:t>
      </w:r>
      <w:r w:rsidR="00E12075">
        <w:rPr>
          <w:rFonts w:hint="eastAsia"/>
        </w:rPr>
        <w:t>，</w:t>
      </w:r>
      <w:r w:rsidR="00E12075" w:rsidRPr="00E12075">
        <w:t>FY28能不能守住9-10%，取决于 EBA续约潮能否顺利兑现 + Fusion/运营业务能否接力。</w:t>
      </w:r>
    </w:p>
    <w:p w14:paraId="2E99271D" w14:textId="77777777" w:rsidR="00F8472C" w:rsidRDefault="00E12075">
      <w:r>
        <w:rPr>
          <w:rFonts w:hint="eastAsia"/>
        </w:rPr>
        <w:t>保守起见，</w:t>
      </w:r>
      <w:r w:rsidR="00984CE8">
        <w:rPr>
          <w:rFonts w:hint="eastAsia"/>
        </w:rPr>
        <w:t>可以将</w:t>
      </w:r>
      <w:r>
        <w:rPr>
          <w:rFonts w:hint="eastAsia"/>
        </w:rPr>
        <w:t>8-9</w:t>
      </w:r>
      <w:r w:rsidR="00984CE8">
        <w:rPr>
          <w:rFonts w:hint="eastAsia"/>
        </w:rPr>
        <w:t>%的有机账单增速视为Autodesk的增长中枢。</w:t>
      </w:r>
      <w:r w:rsidR="00F8472C">
        <w:rPr>
          <w:rFonts w:hint="eastAsia"/>
        </w:rPr>
        <w:t>那么，</w:t>
      </w:r>
    </w:p>
    <w:p w14:paraId="04A40B1E" w14:textId="77777777" w:rsidR="000B31D3" w:rsidRDefault="000B31D3">
      <w:r>
        <w:rPr>
          <w:rFonts w:hint="eastAsia"/>
        </w:rPr>
        <w:t>稳态</w:t>
      </w:r>
      <w:r w:rsidR="00F8472C">
        <w:rPr>
          <w:rFonts w:hint="eastAsia"/>
        </w:rPr>
        <w:t>EPS增速≈</w:t>
      </w:r>
      <w:r>
        <w:rPr>
          <w:rFonts w:hint="eastAsia"/>
        </w:rPr>
        <w:t>收入</w:t>
      </w:r>
      <w:r w:rsidR="00F8472C">
        <w:rPr>
          <w:rFonts w:hint="eastAsia"/>
        </w:rPr>
        <w:t>增速（8%-9%）+利润率扩张（</w:t>
      </w:r>
      <w:r w:rsidR="00707EBE">
        <w:rPr>
          <w:rFonts w:hint="eastAsia"/>
        </w:rPr>
        <w:t>0-</w:t>
      </w:r>
      <w:r w:rsidR="00F8472C">
        <w:rPr>
          <w:rFonts w:hint="eastAsia"/>
        </w:rPr>
        <w:t>1%）</w:t>
      </w:r>
      <w:r w:rsidR="00A00E99">
        <w:rPr>
          <w:rFonts w:hint="eastAsia"/>
        </w:rPr>
        <w:t>+ 股本收缩</w:t>
      </w:r>
      <w:r w:rsidR="00126955">
        <w:rPr>
          <w:rFonts w:hint="eastAsia"/>
        </w:rPr>
        <w:t>（0.6%）</w:t>
      </w:r>
      <w:r w:rsidR="00F8472C">
        <w:rPr>
          <w:rFonts w:hint="eastAsia"/>
        </w:rPr>
        <w:t>≈</w:t>
      </w:r>
      <w:r w:rsidR="00707EBE">
        <w:rPr>
          <w:rFonts w:hint="eastAsia"/>
        </w:rPr>
        <w:t>9</w:t>
      </w:r>
      <w:r w:rsidR="00F8472C">
        <w:rPr>
          <w:rFonts w:hint="eastAsia"/>
        </w:rPr>
        <w:t>%-11%</w:t>
      </w:r>
      <w:r>
        <w:rPr>
          <w:rFonts w:hint="eastAsia"/>
        </w:rPr>
        <w:t>。</w:t>
      </w:r>
    </w:p>
    <w:p w14:paraId="50DA1017" w14:textId="6B6B1189" w:rsidR="005B27B8" w:rsidRDefault="00E01027">
      <w:r>
        <w:rPr>
          <w:rFonts w:hint="eastAsia"/>
        </w:rPr>
        <w:t>因此，Autodesk的</w:t>
      </w:r>
      <w:r w:rsidR="000B31D3">
        <w:rPr>
          <w:rFonts w:hint="eastAsia"/>
        </w:rPr>
        <w:t>中性稳态EPS增速</w:t>
      </w:r>
      <w:r w:rsidR="00B07D2C">
        <w:rPr>
          <w:rFonts w:hint="eastAsia"/>
        </w:rPr>
        <w:t>可</w:t>
      </w:r>
      <w:r w:rsidR="000B31D3">
        <w:rPr>
          <w:rFonts w:hint="eastAsia"/>
        </w:rPr>
        <w:t>取10%。</w:t>
      </w:r>
    </w:p>
    <w:p w14:paraId="4CAFA5E0" w14:textId="5AFFF72F" w:rsidR="007C5121" w:rsidRDefault="00881859">
      <w:r w:rsidRPr="00881859">
        <w:t>未来5年10% EPS 增速，合理Non-GAAP PE应落在约18-2</w:t>
      </w:r>
      <w:r w:rsidR="0052270A">
        <w:rPr>
          <w:rFonts w:hint="eastAsia"/>
        </w:rPr>
        <w:t>2</w:t>
      </w:r>
      <w:r w:rsidRPr="00881859">
        <w:t>x区间，</w:t>
      </w:r>
      <w:r w:rsidR="0052270A">
        <w:rPr>
          <w:rFonts w:hint="eastAsia"/>
        </w:rPr>
        <w:t>Autodesk</w:t>
      </w:r>
      <w:r w:rsidRPr="00881859">
        <w:t>现价 22x 落在</w:t>
      </w:r>
      <w:r w:rsidR="0052270A">
        <w:rPr>
          <w:rFonts w:hint="eastAsia"/>
        </w:rPr>
        <w:t>接近</w:t>
      </w:r>
      <w:r w:rsidRPr="00881859">
        <w:t>中枢上沿</w:t>
      </w:r>
      <w:r>
        <w:rPr>
          <w:rFonts w:hint="eastAsia"/>
        </w:rPr>
        <w:t>。</w:t>
      </w:r>
    </w:p>
    <w:p w14:paraId="5C2BC00C" w14:textId="77777777" w:rsidR="007C5121" w:rsidRDefault="007C5121"/>
    <w:p w14:paraId="0AD359C9" w14:textId="77777777" w:rsidR="007C5121" w:rsidRDefault="007C5121"/>
    <w:p w14:paraId="4315D51B" w14:textId="77777777" w:rsidR="007C5121" w:rsidRDefault="007C5121"/>
    <w:p w14:paraId="053017C1" w14:textId="77777777" w:rsidR="003A27DE" w:rsidRDefault="003A27DE"/>
    <w:p w14:paraId="65E0CA46" w14:textId="77777777" w:rsidR="003A27DE" w:rsidRDefault="003A27DE"/>
    <w:sectPr w:rsidR="003A27DE" w:rsidSect="00A1594C">
      <w:pgSz w:w="11906" w:h="16838"/>
      <w:pgMar w:top="720" w:right="720" w:bottom="720" w:left="72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Helvetica Neue">
    <w:panose1 w:val="02000503000000020004"/>
    <w:charset w:val="00"/>
    <w:family w:val="auto"/>
    <w:pitch w:val="variable"/>
    <w:sig w:usb0="E50002FF" w:usb1="500079DB" w:usb2="0000001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3B7103"/>
    <w:multiLevelType w:val="hybridMultilevel"/>
    <w:tmpl w:val="DCEE35EE"/>
    <w:lvl w:ilvl="0" w:tplc="0C7AE25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1EE7E52"/>
    <w:multiLevelType w:val="hybridMultilevel"/>
    <w:tmpl w:val="AFAABC84"/>
    <w:lvl w:ilvl="0" w:tplc="3C2818AA">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 w15:restartNumberingAfterBreak="0">
    <w:nsid w:val="275E6922"/>
    <w:multiLevelType w:val="hybridMultilevel"/>
    <w:tmpl w:val="B186ECC8"/>
    <w:lvl w:ilvl="0" w:tplc="9DB0E110">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 w15:restartNumberingAfterBreak="0">
    <w:nsid w:val="38BD6B7D"/>
    <w:multiLevelType w:val="hybridMultilevel"/>
    <w:tmpl w:val="1046A1D8"/>
    <w:lvl w:ilvl="0" w:tplc="B5A4D07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47B115E5"/>
    <w:multiLevelType w:val="hybridMultilevel"/>
    <w:tmpl w:val="92B4834E"/>
    <w:lvl w:ilvl="0" w:tplc="B876F910">
      <w:start w:val="1"/>
      <w:numFmt w:val="decimal"/>
      <w:lvlText w:val="%1."/>
      <w:lvlJc w:val="left"/>
      <w:pPr>
        <w:ind w:left="360" w:hanging="360"/>
      </w:pPr>
      <w:rPr>
        <w:rFonts w:hint="default"/>
        <w:b/>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623A2900"/>
    <w:multiLevelType w:val="hybridMultilevel"/>
    <w:tmpl w:val="A3568E6E"/>
    <w:lvl w:ilvl="0" w:tplc="A22055D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69256CF2"/>
    <w:multiLevelType w:val="hybridMultilevel"/>
    <w:tmpl w:val="5F12AAC0"/>
    <w:lvl w:ilvl="0" w:tplc="53D68DE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7E9A3BFE"/>
    <w:multiLevelType w:val="hybridMultilevel"/>
    <w:tmpl w:val="2986539C"/>
    <w:lvl w:ilvl="0" w:tplc="6A4EB79A">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num w:numId="1" w16cid:durableId="896937549">
    <w:abstractNumId w:val="0"/>
  </w:num>
  <w:num w:numId="2" w16cid:durableId="917206447">
    <w:abstractNumId w:val="1"/>
  </w:num>
  <w:num w:numId="3" w16cid:durableId="1934120312">
    <w:abstractNumId w:val="7"/>
  </w:num>
  <w:num w:numId="4" w16cid:durableId="888492015">
    <w:abstractNumId w:val="2"/>
  </w:num>
  <w:num w:numId="5" w16cid:durableId="1365204593">
    <w:abstractNumId w:val="4"/>
  </w:num>
  <w:num w:numId="6" w16cid:durableId="1497191714">
    <w:abstractNumId w:val="5"/>
  </w:num>
  <w:num w:numId="7" w16cid:durableId="1522352066">
    <w:abstractNumId w:val="6"/>
  </w:num>
  <w:num w:numId="8" w16cid:durableId="2097090649">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bordersDoNotSurroundHeader/>
  <w:bordersDoNotSurroundFooter/>
  <w:defaultTabStop w:val="420"/>
  <w:drawingGridHorizontalSpacing w:val="11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61DE"/>
    <w:rsid w:val="000120F1"/>
    <w:rsid w:val="00017DCB"/>
    <w:rsid w:val="00037328"/>
    <w:rsid w:val="00055759"/>
    <w:rsid w:val="00070834"/>
    <w:rsid w:val="000759D4"/>
    <w:rsid w:val="00096AFD"/>
    <w:rsid w:val="000A0470"/>
    <w:rsid w:val="000B111D"/>
    <w:rsid w:val="000B31D3"/>
    <w:rsid w:val="000B3412"/>
    <w:rsid w:val="000D31C4"/>
    <w:rsid w:val="000D58D8"/>
    <w:rsid w:val="000E443B"/>
    <w:rsid w:val="000E78AA"/>
    <w:rsid w:val="00102414"/>
    <w:rsid w:val="001039D1"/>
    <w:rsid w:val="001061B8"/>
    <w:rsid w:val="00113D41"/>
    <w:rsid w:val="00126955"/>
    <w:rsid w:val="0014421C"/>
    <w:rsid w:val="001563F7"/>
    <w:rsid w:val="001579F5"/>
    <w:rsid w:val="00162BB3"/>
    <w:rsid w:val="0017010E"/>
    <w:rsid w:val="00180809"/>
    <w:rsid w:val="00180D11"/>
    <w:rsid w:val="001A7870"/>
    <w:rsid w:val="001B0A81"/>
    <w:rsid w:val="001C61DE"/>
    <w:rsid w:val="001D5DBE"/>
    <w:rsid w:val="001D7905"/>
    <w:rsid w:val="001F7D68"/>
    <w:rsid w:val="00203664"/>
    <w:rsid w:val="002058D1"/>
    <w:rsid w:val="00205A65"/>
    <w:rsid w:val="00207E40"/>
    <w:rsid w:val="00213979"/>
    <w:rsid w:val="00216DCE"/>
    <w:rsid w:val="00221EFE"/>
    <w:rsid w:val="002345F9"/>
    <w:rsid w:val="00234FA9"/>
    <w:rsid w:val="002450C7"/>
    <w:rsid w:val="00265CCC"/>
    <w:rsid w:val="00266E62"/>
    <w:rsid w:val="002724D5"/>
    <w:rsid w:val="00274D81"/>
    <w:rsid w:val="002763D1"/>
    <w:rsid w:val="0028149F"/>
    <w:rsid w:val="00283562"/>
    <w:rsid w:val="00296D65"/>
    <w:rsid w:val="002B733C"/>
    <w:rsid w:val="002C0B0D"/>
    <w:rsid w:val="002C279C"/>
    <w:rsid w:val="002D2123"/>
    <w:rsid w:val="002D25DC"/>
    <w:rsid w:val="002F51EF"/>
    <w:rsid w:val="002F709F"/>
    <w:rsid w:val="0030286D"/>
    <w:rsid w:val="00305C74"/>
    <w:rsid w:val="003217D3"/>
    <w:rsid w:val="00322E8E"/>
    <w:rsid w:val="00324762"/>
    <w:rsid w:val="00341537"/>
    <w:rsid w:val="00341B05"/>
    <w:rsid w:val="00355516"/>
    <w:rsid w:val="00355DA1"/>
    <w:rsid w:val="003562BE"/>
    <w:rsid w:val="00364D16"/>
    <w:rsid w:val="0037162C"/>
    <w:rsid w:val="0037418F"/>
    <w:rsid w:val="003A27DE"/>
    <w:rsid w:val="003B052B"/>
    <w:rsid w:val="003B3B61"/>
    <w:rsid w:val="003B47DD"/>
    <w:rsid w:val="003D3502"/>
    <w:rsid w:val="003D5599"/>
    <w:rsid w:val="003E0A1D"/>
    <w:rsid w:val="003E47DE"/>
    <w:rsid w:val="003F2810"/>
    <w:rsid w:val="003F33B3"/>
    <w:rsid w:val="003F6B86"/>
    <w:rsid w:val="004051B2"/>
    <w:rsid w:val="0041067E"/>
    <w:rsid w:val="00414CD8"/>
    <w:rsid w:val="0042344D"/>
    <w:rsid w:val="00425520"/>
    <w:rsid w:val="00443E9A"/>
    <w:rsid w:val="00444F46"/>
    <w:rsid w:val="0045016A"/>
    <w:rsid w:val="00452792"/>
    <w:rsid w:val="0045448E"/>
    <w:rsid w:val="00463AEA"/>
    <w:rsid w:val="00471118"/>
    <w:rsid w:val="00487FB5"/>
    <w:rsid w:val="00490D35"/>
    <w:rsid w:val="004A6A1A"/>
    <w:rsid w:val="004B0929"/>
    <w:rsid w:val="004B7F30"/>
    <w:rsid w:val="004C54A9"/>
    <w:rsid w:val="004C7F69"/>
    <w:rsid w:val="004E220B"/>
    <w:rsid w:val="004F086D"/>
    <w:rsid w:val="004F6210"/>
    <w:rsid w:val="005024C8"/>
    <w:rsid w:val="00510D26"/>
    <w:rsid w:val="00517AD0"/>
    <w:rsid w:val="00521E7E"/>
    <w:rsid w:val="0052270A"/>
    <w:rsid w:val="005309C6"/>
    <w:rsid w:val="0053467A"/>
    <w:rsid w:val="00537844"/>
    <w:rsid w:val="00547FEE"/>
    <w:rsid w:val="00556332"/>
    <w:rsid w:val="00557079"/>
    <w:rsid w:val="005621B4"/>
    <w:rsid w:val="005737E7"/>
    <w:rsid w:val="00574EA9"/>
    <w:rsid w:val="00581A86"/>
    <w:rsid w:val="00591373"/>
    <w:rsid w:val="005A5556"/>
    <w:rsid w:val="005B27B8"/>
    <w:rsid w:val="005C2E98"/>
    <w:rsid w:val="005C52C0"/>
    <w:rsid w:val="005E1E15"/>
    <w:rsid w:val="005E67FB"/>
    <w:rsid w:val="005F0D80"/>
    <w:rsid w:val="00611D0F"/>
    <w:rsid w:val="00613EB8"/>
    <w:rsid w:val="00614F90"/>
    <w:rsid w:val="00620896"/>
    <w:rsid w:val="00623CC0"/>
    <w:rsid w:val="00624CF1"/>
    <w:rsid w:val="006251D8"/>
    <w:rsid w:val="006261CA"/>
    <w:rsid w:val="006261DD"/>
    <w:rsid w:val="00656EC2"/>
    <w:rsid w:val="006633F6"/>
    <w:rsid w:val="0067726A"/>
    <w:rsid w:val="006800A0"/>
    <w:rsid w:val="00696427"/>
    <w:rsid w:val="006A3C50"/>
    <w:rsid w:val="006B6D07"/>
    <w:rsid w:val="006C1541"/>
    <w:rsid w:val="006C1E0F"/>
    <w:rsid w:val="006C640D"/>
    <w:rsid w:val="006E1BD8"/>
    <w:rsid w:val="0070708D"/>
    <w:rsid w:val="00707EBE"/>
    <w:rsid w:val="00715081"/>
    <w:rsid w:val="00715462"/>
    <w:rsid w:val="00732A13"/>
    <w:rsid w:val="00735C2F"/>
    <w:rsid w:val="00735C46"/>
    <w:rsid w:val="00737D36"/>
    <w:rsid w:val="0074599A"/>
    <w:rsid w:val="0075233E"/>
    <w:rsid w:val="0075574D"/>
    <w:rsid w:val="00763A79"/>
    <w:rsid w:val="00766972"/>
    <w:rsid w:val="0076756D"/>
    <w:rsid w:val="007966C2"/>
    <w:rsid w:val="007A26F4"/>
    <w:rsid w:val="007C5121"/>
    <w:rsid w:val="007C5E8F"/>
    <w:rsid w:val="007D5E57"/>
    <w:rsid w:val="007E364E"/>
    <w:rsid w:val="007E479C"/>
    <w:rsid w:val="00806699"/>
    <w:rsid w:val="00807086"/>
    <w:rsid w:val="008109C4"/>
    <w:rsid w:val="00811DE5"/>
    <w:rsid w:val="00820F81"/>
    <w:rsid w:val="00842377"/>
    <w:rsid w:val="0087793C"/>
    <w:rsid w:val="00877CD5"/>
    <w:rsid w:val="00881574"/>
    <w:rsid w:val="00881859"/>
    <w:rsid w:val="00890296"/>
    <w:rsid w:val="008A383A"/>
    <w:rsid w:val="008A5843"/>
    <w:rsid w:val="008B3D89"/>
    <w:rsid w:val="008B5019"/>
    <w:rsid w:val="008C1F92"/>
    <w:rsid w:val="008C4CB6"/>
    <w:rsid w:val="008D4CDF"/>
    <w:rsid w:val="008D5DCD"/>
    <w:rsid w:val="008D5EE9"/>
    <w:rsid w:val="008E08EE"/>
    <w:rsid w:val="008E4213"/>
    <w:rsid w:val="009025ED"/>
    <w:rsid w:val="00903454"/>
    <w:rsid w:val="009041BE"/>
    <w:rsid w:val="009049F8"/>
    <w:rsid w:val="009062E3"/>
    <w:rsid w:val="00917118"/>
    <w:rsid w:val="00922F52"/>
    <w:rsid w:val="00953E8B"/>
    <w:rsid w:val="00960129"/>
    <w:rsid w:val="00970445"/>
    <w:rsid w:val="0097441E"/>
    <w:rsid w:val="00975FBC"/>
    <w:rsid w:val="00977BF5"/>
    <w:rsid w:val="009822F1"/>
    <w:rsid w:val="00982A1E"/>
    <w:rsid w:val="00984CE8"/>
    <w:rsid w:val="00997808"/>
    <w:rsid w:val="009A2E70"/>
    <w:rsid w:val="009B644B"/>
    <w:rsid w:val="009D5916"/>
    <w:rsid w:val="009E0A94"/>
    <w:rsid w:val="009E2E3E"/>
    <w:rsid w:val="00A00963"/>
    <w:rsid w:val="00A00E99"/>
    <w:rsid w:val="00A14ED6"/>
    <w:rsid w:val="00A1594C"/>
    <w:rsid w:val="00A15E20"/>
    <w:rsid w:val="00A23F54"/>
    <w:rsid w:val="00A47F95"/>
    <w:rsid w:val="00A5388F"/>
    <w:rsid w:val="00A56685"/>
    <w:rsid w:val="00A64C97"/>
    <w:rsid w:val="00A660B0"/>
    <w:rsid w:val="00A70020"/>
    <w:rsid w:val="00A7115A"/>
    <w:rsid w:val="00A745B4"/>
    <w:rsid w:val="00A84308"/>
    <w:rsid w:val="00A84AB6"/>
    <w:rsid w:val="00A9512D"/>
    <w:rsid w:val="00AB4B35"/>
    <w:rsid w:val="00AB7501"/>
    <w:rsid w:val="00AB75F0"/>
    <w:rsid w:val="00AC5AB2"/>
    <w:rsid w:val="00AE286A"/>
    <w:rsid w:val="00AF1052"/>
    <w:rsid w:val="00AF1BEF"/>
    <w:rsid w:val="00B009D6"/>
    <w:rsid w:val="00B0776C"/>
    <w:rsid w:val="00B07D2C"/>
    <w:rsid w:val="00B11B47"/>
    <w:rsid w:val="00B15D1A"/>
    <w:rsid w:val="00B53D8A"/>
    <w:rsid w:val="00B66355"/>
    <w:rsid w:val="00B663CB"/>
    <w:rsid w:val="00B90EE0"/>
    <w:rsid w:val="00BA00FA"/>
    <w:rsid w:val="00BA461A"/>
    <w:rsid w:val="00BB2B6A"/>
    <w:rsid w:val="00BD0AB2"/>
    <w:rsid w:val="00BD59C8"/>
    <w:rsid w:val="00C00D3B"/>
    <w:rsid w:val="00C10232"/>
    <w:rsid w:val="00C3350B"/>
    <w:rsid w:val="00C42B9F"/>
    <w:rsid w:val="00C44D9B"/>
    <w:rsid w:val="00C468C7"/>
    <w:rsid w:val="00C47136"/>
    <w:rsid w:val="00C508A6"/>
    <w:rsid w:val="00C56A71"/>
    <w:rsid w:val="00C57D5A"/>
    <w:rsid w:val="00C64EA4"/>
    <w:rsid w:val="00C65EBE"/>
    <w:rsid w:val="00C73342"/>
    <w:rsid w:val="00C73394"/>
    <w:rsid w:val="00C753C6"/>
    <w:rsid w:val="00C925B8"/>
    <w:rsid w:val="00CA38A1"/>
    <w:rsid w:val="00CA5432"/>
    <w:rsid w:val="00CC3922"/>
    <w:rsid w:val="00CD53AA"/>
    <w:rsid w:val="00CD5CBC"/>
    <w:rsid w:val="00CE2C9B"/>
    <w:rsid w:val="00CF4E99"/>
    <w:rsid w:val="00D11E16"/>
    <w:rsid w:val="00D1664F"/>
    <w:rsid w:val="00D30EFA"/>
    <w:rsid w:val="00D32287"/>
    <w:rsid w:val="00D37521"/>
    <w:rsid w:val="00D450D4"/>
    <w:rsid w:val="00D539C9"/>
    <w:rsid w:val="00D5647D"/>
    <w:rsid w:val="00D61585"/>
    <w:rsid w:val="00D61BB2"/>
    <w:rsid w:val="00D61DA7"/>
    <w:rsid w:val="00D62A65"/>
    <w:rsid w:val="00D77F64"/>
    <w:rsid w:val="00D9611C"/>
    <w:rsid w:val="00DA7B61"/>
    <w:rsid w:val="00DC45C6"/>
    <w:rsid w:val="00DC78E6"/>
    <w:rsid w:val="00E01027"/>
    <w:rsid w:val="00E016BA"/>
    <w:rsid w:val="00E03939"/>
    <w:rsid w:val="00E112FB"/>
    <w:rsid w:val="00E12075"/>
    <w:rsid w:val="00E2457C"/>
    <w:rsid w:val="00E46C5D"/>
    <w:rsid w:val="00E54B60"/>
    <w:rsid w:val="00E62BA0"/>
    <w:rsid w:val="00E64D46"/>
    <w:rsid w:val="00E662D7"/>
    <w:rsid w:val="00E66CE4"/>
    <w:rsid w:val="00E84F39"/>
    <w:rsid w:val="00E9623A"/>
    <w:rsid w:val="00EA709E"/>
    <w:rsid w:val="00EA70F3"/>
    <w:rsid w:val="00EC08EC"/>
    <w:rsid w:val="00EC3695"/>
    <w:rsid w:val="00EE3CA6"/>
    <w:rsid w:val="00EF2458"/>
    <w:rsid w:val="00EF4A1F"/>
    <w:rsid w:val="00F01538"/>
    <w:rsid w:val="00F030D3"/>
    <w:rsid w:val="00F04FBA"/>
    <w:rsid w:val="00F10669"/>
    <w:rsid w:val="00F41B7E"/>
    <w:rsid w:val="00F45E21"/>
    <w:rsid w:val="00F50089"/>
    <w:rsid w:val="00F65F2F"/>
    <w:rsid w:val="00F718B7"/>
    <w:rsid w:val="00F76ABD"/>
    <w:rsid w:val="00F77464"/>
    <w:rsid w:val="00F82995"/>
    <w:rsid w:val="00F8472C"/>
    <w:rsid w:val="00F86DDC"/>
    <w:rsid w:val="00F9104A"/>
    <w:rsid w:val="00FC55B3"/>
    <w:rsid w:val="00FD651D"/>
    <w:rsid w:val="00FE6017"/>
    <w:rsid w:val="00FE60BD"/>
    <w:rsid w:val="00FE7B4F"/>
    <w:rsid w:val="00FF412D"/>
    <w:rsid w:val="00FF68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C86DAE6"/>
  <w15:chartTrackingRefBased/>
  <w15:docId w15:val="{FEFC51B3-7577-A94B-A63B-C273975ECE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C61D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1C61D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1C61D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C61D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C61D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1C61DE"/>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C61D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C61D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1C61D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C61D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1C61D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1C61D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C61DE"/>
    <w:rPr>
      <w:rFonts w:cstheme="majorBidi"/>
      <w:color w:val="0F4761" w:themeColor="accent1" w:themeShade="BF"/>
      <w:sz w:val="28"/>
      <w:szCs w:val="28"/>
    </w:rPr>
  </w:style>
  <w:style w:type="character" w:customStyle="1" w:styleId="50">
    <w:name w:val="标题 5 字符"/>
    <w:basedOn w:val="a0"/>
    <w:link w:val="5"/>
    <w:uiPriority w:val="9"/>
    <w:semiHidden/>
    <w:rsid w:val="001C61DE"/>
    <w:rPr>
      <w:rFonts w:cstheme="majorBidi"/>
      <w:color w:val="0F4761" w:themeColor="accent1" w:themeShade="BF"/>
      <w:sz w:val="24"/>
    </w:rPr>
  </w:style>
  <w:style w:type="character" w:customStyle="1" w:styleId="60">
    <w:name w:val="标题 6 字符"/>
    <w:basedOn w:val="a0"/>
    <w:link w:val="6"/>
    <w:uiPriority w:val="9"/>
    <w:semiHidden/>
    <w:rsid w:val="001C61DE"/>
    <w:rPr>
      <w:rFonts w:cstheme="majorBidi"/>
      <w:b/>
      <w:bCs/>
      <w:color w:val="0F4761" w:themeColor="accent1" w:themeShade="BF"/>
    </w:rPr>
  </w:style>
  <w:style w:type="character" w:customStyle="1" w:styleId="70">
    <w:name w:val="标题 7 字符"/>
    <w:basedOn w:val="a0"/>
    <w:link w:val="7"/>
    <w:uiPriority w:val="9"/>
    <w:semiHidden/>
    <w:rsid w:val="001C61DE"/>
    <w:rPr>
      <w:rFonts w:cstheme="majorBidi"/>
      <w:b/>
      <w:bCs/>
      <w:color w:val="595959" w:themeColor="text1" w:themeTint="A6"/>
    </w:rPr>
  </w:style>
  <w:style w:type="character" w:customStyle="1" w:styleId="80">
    <w:name w:val="标题 8 字符"/>
    <w:basedOn w:val="a0"/>
    <w:link w:val="8"/>
    <w:uiPriority w:val="9"/>
    <w:semiHidden/>
    <w:rsid w:val="001C61DE"/>
    <w:rPr>
      <w:rFonts w:cstheme="majorBidi"/>
      <w:color w:val="595959" w:themeColor="text1" w:themeTint="A6"/>
    </w:rPr>
  </w:style>
  <w:style w:type="character" w:customStyle="1" w:styleId="90">
    <w:name w:val="标题 9 字符"/>
    <w:basedOn w:val="a0"/>
    <w:link w:val="9"/>
    <w:uiPriority w:val="9"/>
    <w:semiHidden/>
    <w:rsid w:val="001C61DE"/>
    <w:rPr>
      <w:rFonts w:eastAsiaTheme="majorEastAsia" w:cstheme="majorBidi"/>
      <w:color w:val="595959" w:themeColor="text1" w:themeTint="A6"/>
    </w:rPr>
  </w:style>
  <w:style w:type="paragraph" w:styleId="a3">
    <w:name w:val="Title"/>
    <w:basedOn w:val="a"/>
    <w:next w:val="a"/>
    <w:link w:val="a4"/>
    <w:uiPriority w:val="10"/>
    <w:qFormat/>
    <w:rsid w:val="001C61D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C61D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C61D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C61D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C61DE"/>
    <w:pPr>
      <w:spacing w:before="160"/>
      <w:jc w:val="center"/>
    </w:pPr>
    <w:rPr>
      <w:i/>
      <w:iCs/>
      <w:color w:val="404040" w:themeColor="text1" w:themeTint="BF"/>
    </w:rPr>
  </w:style>
  <w:style w:type="character" w:customStyle="1" w:styleId="a8">
    <w:name w:val="引用 字符"/>
    <w:basedOn w:val="a0"/>
    <w:link w:val="a7"/>
    <w:uiPriority w:val="29"/>
    <w:rsid w:val="001C61DE"/>
    <w:rPr>
      <w:i/>
      <w:iCs/>
      <w:color w:val="404040" w:themeColor="text1" w:themeTint="BF"/>
    </w:rPr>
  </w:style>
  <w:style w:type="paragraph" w:styleId="a9">
    <w:name w:val="List Paragraph"/>
    <w:basedOn w:val="a"/>
    <w:uiPriority w:val="34"/>
    <w:qFormat/>
    <w:rsid w:val="001C61DE"/>
    <w:pPr>
      <w:ind w:left="720"/>
      <w:contextualSpacing/>
    </w:pPr>
  </w:style>
  <w:style w:type="character" w:styleId="aa">
    <w:name w:val="Intense Emphasis"/>
    <w:basedOn w:val="a0"/>
    <w:uiPriority w:val="21"/>
    <w:qFormat/>
    <w:rsid w:val="001C61DE"/>
    <w:rPr>
      <w:i/>
      <w:iCs/>
      <w:color w:val="0F4761" w:themeColor="accent1" w:themeShade="BF"/>
    </w:rPr>
  </w:style>
  <w:style w:type="paragraph" w:styleId="ab">
    <w:name w:val="Intense Quote"/>
    <w:basedOn w:val="a"/>
    <w:next w:val="a"/>
    <w:link w:val="ac"/>
    <w:uiPriority w:val="30"/>
    <w:qFormat/>
    <w:rsid w:val="001C61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C61DE"/>
    <w:rPr>
      <w:i/>
      <w:iCs/>
      <w:color w:val="0F4761" w:themeColor="accent1" w:themeShade="BF"/>
    </w:rPr>
  </w:style>
  <w:style w:type="character" w:styleId="ad">
    <w:name w:val="Intense Reference"/>
    <w:basedOn w:val="a0"/>
    <w:uiPriority w:val="32"/>
    <w:qFormat/>
    <w:rsid w:val="001C61DE"/>
    <w:rPr>
      <w:b/>
      <w:bCs/>
      <w:smallCaps/>
      <w:color w:val="0F4761" w:themeColor="accent1" w:themeShade="BF"/>
      <w:spacing w:val="5"/>
    </w:rPr>
  </w:style>
  <w:style w:type="character" w:styleId="ae">
    <w:name w:val="Strong"/>
    <w:basedOn w:val="a0"/>
    <w:uiPriority w:val="22"/>
    <w:qFormat/>
    <w:rsid w:val="00AF1BEF"/>
    <w:rPr>
      <w:b/>
      <w:bCs/>
    </w:rPr>
  </w:style>
  <w:style w:type="table" w:styleId="af">
    <w:name w:val="Table Grid"/>
    <w:basedOn w:val="a1"/>
    <w:uiPriority w:val="39"/>
    <w:rsid w:val="00AB75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20" Type="http://schemas.openxmlformats.org/officeDocument/2006/relationships/image" Target="media/image15.png"/><Relationship Id="rId41" Type="http://schemas.openxmlformats.org/officeDocument/2006/relationships/image" Target="media/image3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C5D522-5D8F-A340-A9A7-CD26FEEF9A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247</TotalTime>
  <Pages>22</Pages>
  <Words>1579</Words>
  <Characters>9004</Characters>
  <Application>Microsoft Office Word</Application>
  <DocSecurity>0</DocSecurity>
  <Lines>75</Lines>
  <Paragraphs>21</Paragraphs>
  <ScaleCrop>false</ScaleCrop>
  <Company/>
  <LinksUpToDate>false</LinksUpToDate>
  <CharactersWithSpaces>10562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e69900</dc:creator>
  <cp:keywords/>
  <dc:description/>
  <cp:lastModifiedBy>e69900</cp:lastModifiedBy>
  <cp:revision>327</cp:revision>
  <dcterms:created xsi:type="dcterms:W3CDTF">2026-09-15T01:23:00Z</dcterms:created>
  <dcterms:modified xsi:type="dcterms:W3CDTF">2026-09-17T03:49:00Z</dcterms:modified>
</cp:coreProperties>
</file>