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D2207" w14:textId="3651FFF5" w:rsidR="00FE6017" w:rsidRDefault="00E4535B" w:rsidP="00132B67">
      <w:pPr>
        <w:pStyle w:val="1"/>
      </w:pPr>
      <w:r w:rsidRPr="007A01D0">
        <w:t>林德</w:t>
      </w:r>
    </w:p>
    <w:p w14:paraId="6D6C3F55" w14:textId="6E1A0CBB" w:rsidR="00D5561A" w:rsidRDefault="00D5561A" w:rsidP="00D5561A">
      <w:pPr>
        <w:pStyle w:val="2"/>
      </w:pPr>
      <w:r>
        <w:rPr>
          <w:rFonts w:hint="eastAsia"/>
        </w:rPr>
        <w:t>结论</w:t>
      </w:r>
    </w:p>
    <w:p w14:paraId="234F4C52" w14:textId="575D970B" w:rsidR="00DC2B4A" w:rsidRDefault="00DC2B4A" w:rsidP="00DC2B4A">
      <w:pPr>
        <w:pStyle w:val="ae"/>
      </w:pPr>
      <w:r>
        <w:t>林德是全球最大的工业气体供应商，处于由五家企业控制80%+份额的寡头格局中。公司核心竞争力在于三重壁垒——现场制气15-20年Take-or-Pay合同、管网自然垄断、液态气体半径经济学——使收入具备类公用事业的可预见性，同时保持远超公用事业的资本回报。2018年Praxair合并后植入的绩效文化已将调整后营业利润率推升至~30%，领先第二名Air Liquide约10个百分点，且每年仍以30-50bps的节奏扩张。当前增长的核心看点是电子/半导体：AI先进制程对工业气体使用强度的结构性提升叠加全球晶圆厂建设潮，驱动该业务线增速在四个季度内从+6%加速至+18%，在手订单升至$111亿历史新高，管理层判断该资本开支周期将持续5-7年以上。合同定价+工业量复苏+电子加速+利润率扩张+回购缩股，合成EPS增速约9-10%。主要风险在于估值：当前~30x远期PE已反映上述基本面优势，隐含5年IRR约7%，缺乏显著安全边际。</w:t>
      </w:r>
    </w:p>
    <w:p w14:paraId="23C9F093" w14:textId="77777777" w:rsidR="00D5561A" w:rsidRPr="00D5561A" w:rsidRDefault="00D5561A" w:rsidP="00D5561A"/>
    <w:p w14:paraId="78B76B1D" w14:textId="447C1A8E" w:rsidR="007A01D0" w:rsidRDefault="007A01D0" w:rsidP="00132B67">
      <w:pPr>
        <w:pStyle w:val="2"/>
        <w:rPr>
          <w:shd w:val="clear" w:color="auto" w:fill="FFFFFF"/>
        </w:rPr>
      </w:pPr>
      <w:r>
        <w:rPr>
          <w:rFonts w:hint="eastAsia"/>
          <w:shd w:val="clear" w:color="auto" w:fill="FFFFFF"/>
        </w:rPr>
        <w:t>基本信息</w:t>
      </w:r>
    </w:p>
    <w:p w14:paraId="239C1E2E" w14:textId="77777777" w:rsidR="00CC2841" w:rsidRDefault="00A271CA" w:rsidP="00132B67">
      <w:pPr>
        <w:rPr>
          <w:rFonts w:ascii="Helvetica Neue" w:hAnsi="Helvetica Neue"/>
          <w:color w:val="333333"/>
          <w:shd w:val="clear" w:color="auto" w:fill="FFFFFF"/>
        </w:rPr>
      </w:pPr>
      <w:r>
        <w:rPr>
          <w:rFonts w:ascii="Helvetica Neue" w:hAnsi="Helvetica Neue"/>
          <w:color w:val="333333"/>
          <w:shd w:val="clear" w:color="auto" w:fill="FFFFFF"/>
        </w:rPr>
        <w:t>全球工业气体与工程设备龙头，</w:t>
      </w:r>
      <w:r w:rsidR="00B71F78" w:rsidRPr="00B71F78">
        <w:rPr>
          <w:rFonts w:ascii="Helvetica Neue" w:hAnsi="Helvetica Neue"/>
          <w:color w:val="333333"/>
          <w:shd w:val="clear" w:color="auto" w:fill="FFFFFF"/>
        </w:rPr>
        <w:t>服务终端市场涵盖化工与能源、食品饮料、电子、医疗保健、制造以及金属与采矿</w:t>
      </w:r>
      <w:r w:rsidR="00B71F78">
        <w:rPr>
          <w:rFonts w:ascii="Helvetica Neue" w:hAnsi="Helvetica Neue" w:hint="eastAsia"/>
          <w:color w:val="333333"/>
          <w:shd w:val="clear" w:color="auto" w:fill="FFFFFF"/>
        </w:rPr>
        <w:t>。</w:t>
      </w:r>
      <w:r w:rsidR="00B71F78" w:rsidRPr="00CC2841">
        <w:rPr>
          <w:rFonts w:ascii="Helvetica Neue" w:hAnsi="Helvetica Neue"/>
          <w:color w:val="333333"/>
          <w:shd w:val="clear" w:color="auto" w:fill="FFFFFF"/>
        </w:rPr>
        <w:t xml:space="preserve">Linde </w:t>
      </w:r>
      <w:r w:rsidR="00B71F78" w:rsidRPr="00CC2841">
        <w:rPr>
          <w:rFonts w:ascii="Helvetica Neue" w:hAnsi="Helvetica Neue"/>
          <w:color w:val="333333"/>
          <w:shd w:val="clear" w:color="auto" w:fill="FFFFFF"/>
        </w:rPr>
        <w:t>的企业传承可追溯至</w:t>
      </w:r>
      <w:r w:rsidR="00B71F78" w:rsidRPr="00CC2841">
        <w:rPr>
          <w:rFonts w:ascii="Helvetica Neue" w:hAnsi="Helvetica Neue"/>
          <w:color w:val="333333"/>
          <w:shd w:val="clear" w:color="auto" w:fill="FFFFFF"/>
        </w:rPr>
        <w:t>1879</w:t>
      </w:r>
      <w:r w:rsidR="00B71F78" w:rsidRPr="00CC2841">
        <w:rPr>
          <w:rFonts w:ascii="Helvetica Neue" w:hAnsi="Helvetica Neue"/>
          <w:color w:val="333333"/>
          <w:shd w:val="clear" w:color="auto" w:fill="FFFFFF"/>
        </w:rPr>
        <w:t>年，经由前身公司</w:t>
      </w:r>
      <w:r w:rsidR="00B71F78" w:rsidRPr="00CC2841">
        <w:rPr>
          <w:rFonts w:ascii="Helvetica Neue" w:hAnsi="Helvetica Neue"/>
          <w:color w:val="333333"/>
          <w:shd w:val="clear" w:color="auto" w:fill="FFFFFF"/>
        </w:rPr>
        <w:t>Linde AG</w:t>
      </w:r>
      <w:r w:rsidR="00B71F78" w:rsidRPr="00CC2841">
        <w:rPr>
          <w:rFonts w:ascii="Helvetica Neue" w:hAnsi="Helvetica Neue"/>
          <w:color w:val="333333"/>
          <w:shd w:val="clear" w:color="auto" w:fill="FFFFFF"/>
        </w:rPr>
        <w:t>与</w:t>
      </w:r>
      <w:r w:rsidR="00B71F78" w:rsidRPr="00CC2841">
        <w:rPr>
          <w:rFonts w:ascii="Helvetica Neue" w:hAnsi="Helvetica Neue"/>
          <w:color w:val="333333"/>
          <w:shd w:val="clear" w:color="auto" w:fill="FFFFFF"/>
        </w:rPr>
        <w:t>Praxair</w:t>
      </w:r>
      <w:r w:rsidR="00B71F78" w:rsidRPr="00CC2841">
        <w:rPr>
          <w:rFonts w:ascii="Helvetica Neue" w:hAnsi="Helvetica Neue"/>
          <w:color w:val="333333"/>
          <w:shd w:val="clear" w:color="auto" w:fill="FFFFFF"/>
        </w:rPr>
        <w:t>，两者于</w:t>
      </w:r>
      <w:r w:rsidR="00B71F78" w:rsidRPr="00CC2841">
        <w:rPr>
          <w:rFonts w:ascii="Helvetica Neue" w:hAnsi="Helvetica Neue"/>
          <w:color w:val="333333"/>
          <w:shd w:val="clear" w:color="auto" w:fill="FFFFFF"/>
        </w:rPr>
        <w:t>2018</w:t>
      </w:r>
      <w:r w:rsidR="00B71F78" w:rsidRPr="00CC2841">
        <w:rPr>
          <w:rFonts w:ascii="Helvetica Neue" w:hAnsi="Helvetica Neue"/>
          <w:color w:val="333333"/>
          <w:shd w:val="clear" w:color="auto" w:fill="FFFFFF"/>
        </w:rPr>
        <w:t>年完成「对等合并」，组建</w:t>
      </w:r>
      <w:r w:rsidR="00B71F78" w:rsidRPr="00CC2841">
        <w:rPr>
          <w:rFonts w:ascii="Helvetica Neue" w:hAnsi="Helvetica Neue"/>
          <w:color w:val="333333"/>
          <w:shd w:val="clear" w:color="auto" w:fill="FFFFFF"/>
        </w:rPr>
        <w:t xml:space="preserve"> Linde plc</w:t>
      </w:r>
      <w:r w:rsidR="00B71F78" w:rsidRPr="00CC2841">
        <w:rPr>
          <w:rFonts w:ascii="Helvetica Neue" w:hAnsi="Helvetica Neue" w:hint="eastAsia"/>
          <w:color w:val="333333"/>
          <w:shd w:val="clear" w:color="auto" w:fill="FFFFFF"/>
        </w:rPr>
        <w:t>。</w:t>
      </w:r>
    </w:p>
    <w:p w14:paraId="1A04C765" w14:textId="77777777" w:rsidR="00415373" w:rsidRDefault="00415373" w:rsidP="00132B67">
      <w:pPr>
        <w:rPr>
          <w:rFonts w:ascii="Helvetica Neue" w:hAnsi="Helvetica Neue"/>
          <w:color w:val="333333"/>
          <w:shd w:val="clear" w:color="auto" w:fill="FFFFFF"/>
        </w:rPr>
      </w:pPr>
    </w:p>
    <w:p w14:paraId="39169359" w14:textId="5D3A07A4" w:rsidR="00A55467" w:rsidRPr="00A55467" w:rsidRDefault="00A55467" w:rsidP="00132B67">
      <w:pPr>
        <w:rPr>
          <w:rFonts w:ascii="Helvetica Neue" w:hAnsi="Helvetica Neue"/>
          <w:b/>
          <w:bCs/>
          <w:color w:val="333333"/>
          <w:shd w:val="clear" w:color="auto" w:fill="FFFFFF"/>
        </w:rPr>
      </w:pPr>
      <w:r w:rsidRPr="00A55467">
        <w:rPr>
          <w:rFonts w:ascii="Helvetica Neue" w:hAnsi="Helvetica Neue" w:hint="eastAsia"/>
          <w:b/>
          <w:bCs/>
          <w:color w:val="333333"/>
          <w:shd w:val="clear" w:color="auto" w:fill="FFFFFF"/>
        </w:rPr>
        <w:t>工业气体</w:t>
      </w:r>
    </w:p>
    <w:p w14:paraId="2D44E5BC" w14:textId="70034F77" w:rsidR="002B4AB1" w:rsidRPr="00415373" w:rsidRDefault="00A55467" w:rsidP="00132B67">
      <w:pPr>
        <w:pStyle w:val="ae"/>
        <w:rPr>
          <w:rFonts w:ascii="Helvetica Neue" w:hAnsi="Helvetica Neue"/>
          <w:color w:val="333333"/>
          <w:shd w:val="clear" w:color="auto" w:fill="FFFFFF"/>
        </w:rPr>
      </w:pPr>
      <w:r w:rsidRPr="00415373">
        <w:rPr>
          <w:rFonts w:ascii="Helvetica Neue" w:hAnsi="Helvetica Neue" w:hint="eastAsia"/>
          <w:color w:val="333333"/>
          <w:shd w:val="clear" w:color="auto" w:fill="FFFFFF"/>
        </w:rPr>
        <w:t>Linde</w:t>
      </w:r>
      <w:r w:rsidR="00CC2841" w:rsidRPr="00415373">
        <w:rPr>
          <w:rFonts w:ascii="Helvetica Neue" w:hAnsi="Helvetica Neue"/>
          <w:color w:val="333333"/>
          <w:shd w:val="clear" w:color="auto" w:fill="FFFFFF"/>
        </w:rPr>
        <w:t>的核心气体业务供应工业气体、专用气体与医疗气体，包括用于医院的生命维持氧气、用于饮料充碳的食品级二氧化碳、用于电子制造的高纯与专用气体，以及用于清洁燃料的氢气。公司围绕重点终端行业组织其气体产品，涵盖建筑、化工、水产养殖、纸浆与造纸、电子、食品饮料、制药与生物科技、塑料与橡胶、电力与低碳燃料、金属加工、石油与天然气上游、玻璃、水处理、炼油以及金属。</w:t>
      </w:r>
    </w:p>
    <w:p w14:paraId="78D9CB4A" w14:textId="482D5E6D" w:rsidR="00CC2841" w:rsidRPr="00D215C6" w:rsidRDefault="00D215C6" w:rsidP="00132B67">
      <w:pPr>
        <w:rPr>
          <w:b/>
          <w:bCs/>
        </w:rPr>
      </w:pPr>
      <w:r w:rsidRPr="00D215C6">
        <w:rPr>
          <w:rFonts w:hint="eastAsia"/>
          <w:b/>
          <w:bCs/>
        </w:rPr>
        <w:t>工程</w:t>
      </w:r>
    </w:p>
    <w:p w14:paraId="408825C6" w14:textId="77777777" w:rsidR="005E210B" w:rsidRDefault="00D215C6" w:rsidP="005E210B">
      <w:pPr>
        <w:pStyle w:val="ae"/>
        <w:rPr>
          <w:rStyle w:val="af"/>
        </w:rPr>
      </w:pPr>
      <w:r>
        <w:t>Linde Engineering 将自身定位为气体生产与加工领域的合作伙伴，称其在全球拥有超过4,000项工厂业绩，并自称可提供「氢能价值链每一步的技术——从源头到服务」。工程业务强调脱碳与增效技术，以及与客户的长期合作、行业深耕，以提升工厂效率。</w:t>
      </w:r>
    </w:p>
    <w:p w14:paraId="2708F389" w14:textId="39565859" w:rsidR="00CC2841" w:rsidRPr="00D215C6" w:rsidRDefault="00D215C6" w:rsidP="005E210B">
      <w:pPr>
        <w:pStyle w:val="ae"/>
        <w:rPr>
          <w:b/>
          <w:bCs/>
        </w:rPr>
      </w:pPr>
      <w:r w:rsidRPr="00D215C6">
        <w:rPr>
          <w:rFonts w:hint="eastAsia"/>
          <w:b/>
          <w:bCs/>
        </w:rPr>
        <w:t>先进材料技术</w:t>
      </w:r>
    </w:p>
    <w:p w14:paraId="194A123C" w14:textId="301E184F" w:rsidR="009F6BEA" w:rsidRPr="009F6BEA" w:rsidRDefault="009F6BEA" w:rsidP="0004454C">
      <w:pPr>
        <w:spacing w:before="100" w:beforeAutospacing="1" w:after="100" w:afterAutospacing="1"/>
      </w:pPr>
      <w:r w:rsidRPr="009F6BEA">
        <w:t>Linde 先进材料技术（AMT）供应金属与陶瓷涂层、溅射靶材、增材制造金属粉末以及涂层设备。</w:t>
      </w:r>
    </w:p>
    <w:p w14:paraId="39B76740" w14:textId="576A4AA0" w:rsidR="00D215C6" w:rsidRPr="00B31849" w:rsidRDefault="009F6BEA" w:rsidP="00132B67">
      <w:pPr>
        <w:spacing w:before="100" w:beforeAutospacing="1" w:after="100" w:afterAutospacing="1"/>
      </w:pPr>
      <w:r w:rsidRPr="009F6BEA">
        <w:t>AMT的重点终端市场为航空与航天、半导体与电子、能源，以及通用工业应用。</w:t>
      </w:r>
    </w:p>
    <w:p w14:paraId="563964D9" w14:textId="048095D3" w:rsidR="00D215C6" w:rsidRPr="004C383F" w:rsidRDefault="004C383F" w:rsidP="00132B67">
      <w:pPr>
        <w:rPr>
          <w:b/>
          <w:bCs/>
        </w:rPr>
      </w:pPr>
      <w:r w:rsidRPr="004C383F">
        <w:rPr>
          <w:rFonts w:hint="eastAsia"/>
          <w:b/>
          <w:bCs/>
        </w:rPr>
        <w:t>清洁能源与氢能</w:t>
      </w:r>
    </w:p>
    <w:p w14:paraId="2DB86868" w14:textId="06434EDC" w:rsidR="004C383F" w:rsidRDefault="004C383F" w:rsidP="00132B67">
      <w:r>
        <w:t>Linde 将清洁能源、尤其是氢能，定位为一项核心战略增长领域，其根基是公司在气体与工程领域「超过 100 年的经验」，涵盖碳捕集与氢能技术、关键联盟与合资，以及公司现有的基础设施。公司表示其「驾驭氢能力量已超过 100 年」，并正同时投资于灰氢、蓝氢与绿氢三条路径</w:t>
      </w:r>
      <w:r>
        <w:rPr>
          <w:rFonts w:hint="eastAsia"/>
        </w:rPr>
        <w:t>。</w:t>
      </w:r>
    </w:p>
    <w:p w14:paraId="354FE3CE" w14:textId="77777777" w:rsidR="0004454C" w:rsidRDefault="0004454C" w:rsidP="00132B67"/>
    <w:p w14:paraId="12D2773B" w14:textId="77777777" w:rsidR="00F4475F" w:rsidRPr="00F4475F" w:rsidRDefault="00F4475F" w:rsidP="00132B67">
      <w:pPr>
        <w:rPr>
          <w:b/>
          <w:bCs/>
        </w:rPr>
      </w:pPr>
      <w:r w:rsidRPr="00F4475F">
        <w:rPr>
          <w:rFonts w:hint="eastAsia"/>
          <w:b/>
          <w:bCs/>
        </w:rPr>
        <w:t>碳捕集</w:t>
      </w:r>
      <w:r w:rsidRPr="00F4475F">
        <w:rPr>
          <w:b/>
          <w:bCs/>
        </w:rPr>
        <w:t>碳捕集、利用与封存（CCUS）</w:t>
      </w:r>
    </w:p>
    <w:p w14:paraId="35D89130" w14:textId="3E164DAC" w:rsidR="00F160BE" w:rsidRDefault="00F160BE" w:rsidP="00132B67">
      <w:pPr>
        <w:pStyle w:val="ae"/>
      </w:pPr>
      <w:r>
        <w:t>Linde 支持客户覆盖「碳管理价值链」全程，从捕集与预处理，到运输、利用与封存。公司描述了三种主要捕集策略——燃烧前捕集、富氧燃烧捕集与燃烧后捕集——并表示将碳捕集整合进蒸汽甲烷重整工艺，可捕集最高达 95% 的生成二氧化碳，从而支持蓝氢生产。CCUS 的目标行业包括氢与氨、炼油、水泥、钢铁与化工。Linde 已与 BASF 合作，交付整合式燃烧后捕集解决方案，将 BASF 的气体处理技术与 Linde 的工程、项目执行及二氧化碳加工能力相结合。</w:t>
      </w:r>
    </w:p>
    <w:p w14:paraId="0BE0AA14" w14:textId="2F34D26C" w:rsidR="004C383F" w:rsidRDefault="004C383F" w:rsidP="00132B67"/>
    <w:p w14:paraId="14D3140C" w14:textId="1BCDB5C8" w:rsidR="00FA2E95" w:rsidRDefault="00FA2E95" w:rsidP="00573755">
      <w:pPr>
        <w:pStyle w:val="2"/>
      </w:pPr>
      <w:r>
        <w:rPr>
          <w:rFonts w:hint="eastAsia"/>
        </w:rPr>
        <w:t>历史沿革</w:t>
      </w:r>
    </w:p>
    <w:p w14:paraId="01A25986" w14:textId="77777777" w:rsidR="0092253B" w:rsidRPr="002C3E5C" w:rsidRDefault="0092253B" w:rsidP="002C3E5C">
      <w:pPr>
        <w:rPr>
          <w:b/>
          <w:bCs/>
        </w:rPr>
      </w:pPr>
      <w:r w:rsidRPr="002C3E5C">
        <w:rPr>
          <w:b/>
          <w:bCs/>
        </w:rPr>
        <w:t>Linde AG 一脉（1879–2018）：从制冷到工业气体巨头</w:t>
      </w:r>
    </w:p>
    <w:p w14:paraId="4C5110A4" w14:textId="77777777" w:rsidR="0092253B" w:rsidRPr="0092253B" w:rsidRDefault="0092253B" w:rsidP="0092253B">
      <w:pPr>
        <w:spacing w:before="100" w:beforeAutospacing="1" w:after="100" w:afterAutospacing="1"/>
      </w:pPr>
      <w:r w:rsidRPr="0092253B">
        <w:rPr>
          <w:b/>
          <w:bCs/>
        </w:rPr>
        <w:t>1879 · 创立</w:t>
      </w:r>
      <w:r w:rsidRPr="0092253B">
        <w:br/>
        <w:t xml:space="preserve">Carl von Linde（卡尔·冯·林德），慕尼黑工业大学机械工程教授，1876年发明了第一台工业规模的氨压缩制冷机，主要服务于啤酒酿造行业（Spaten啤酒厂是最早的客户和资助者）。1879年6月21日，他辞去教职，与五位合伙人在德国威斯巴登创办 </w:t>
      </w:r>
      <w:r w:rsidRPr="0092253B">
        <w:rPr>
          <w:b/>
          <w:bCs/>
        </w:rPr>
        <w:t xml:space="preserve">Gesellschaft für Lindes </w:t>
      </w:r>
      <w:proofErr w:type="spellStart"/>
      <w:r w:rsidRPr="0092253B">
        <w:rPr>
          <w:b/>
          <w:bCs/>
        </w:rPr>
        <w:t>Eismaschinen</w:t>
      </w:r>
      <w:proofErr w:type="spellEnd"/>
      <w:r w:rsidRPr="0092253B">
        <w:rPr>
          <w:b/>
          <w:bCs/>
        </w:rPr>
        <w:t xml:space="preserve"> AG</w:t>
      </w:r>
      <w:r w:rsidRPr="0092253B">
        <w:t>（"林德制冰机公司"）。到1890年已售出747台制冷设备。</w:t>
      </w:r>
    </w:p>
    <w:p w14:paraId="5CF84ECD" w14:textId="77777777" w:rsidR="0092253B" w:rsidRPr="0092253B" w:rsidRDefault="0092253B" w:rsidP="0092253B">
      <w:pPr>
        <w:spacing w:before="100" w:beforeAutospacing="1" w:after="100" w:afterAutospacing="1"/>
      </w:pPr>
      <w:r w:rsidRPr="0092253B">
        <w:rPr>
          <w:b/>
          <w:bCs/>
        </w:rPr>
        <w:t>1895 · 关键转折：空气液化</w:t>
      </w:r>
      <w:r w:rsidRPr="0092253B">
        <w:br/>
        <w:t xml:space="preserve">Carl von Linde实现了 </w:t>
      </w:r>
      <w:r w:rsidRPr="0092253B">
        <w:rPr>
          <w:b/>
          <w:bCs/>
        </w:rPr>
        <w:t>空气液化技术突破</w:t>
      </w:r>
      <w:r w:rsidRPr="0092253B">
        <w:t>，将公司从制冷设备制造商转型为大气气体分离（氧气、氮气、氩气）技术先驱。这一技术奠定了此后130年工业气体行业的基础。</w:t>
      </w:r>
    </w:p>
    <w:p w14:paraId="3CF3F101" w14:textId="77777777" w:rsidR="0092253B" w:rsidRPr="0092253B" w:rsidRDefault="0092253B" w:rsidP="0092253B">
      <w:pPr>
        <w:spacing w:before="100" w:beforeAutospacing="1" w:after="100" w:afterAutospacing="1"/>
      </w:pPr>
      <w:r w:rsidRPr="0092253B">
        <w:rPr>
          <w:b/>
          <w:bCs/>
        </w:rPr>
        <w:t>1999 · 收购AGA</w:t>
      </w:r>
      <w:r w:rsidRPr="0092253B">
        <w:br/>
        <w:t>收购瑞典气体公司AGA，跃居全球第四大工业气体供应商。</w:t>
      </w:r>
    </w:p>
    <w:p w14:paraId="757187BB" w14:textId="77777777" w:rsidR="0092253B" w:rsidRPr="0092253B" w:rsidRDefault="0092253B" w:rsidP="0092253B">
      <w:pPr>
        <w:spacing w:before="100" w:beforeAutospacing="1" w:after="100" w:afterAutospacing="1"/>
      </w:pPr>
      <w:r w:rsidRPr="0092253B">
        <w:rPr>
          <w:b/>
          <w:bCs/>
        </w:rPr>
        <w:t>2004 · 剥离制冷业务</w:t>
      </w:r>
      <w:r w:rsidRPr="0092253B">
        <w:br/>
        <w:t>出售制冷技术部门——林德最初的核心业务，标志着战略聚焦转向工业气体。</w:t>
      </w:r>
    </w:p>
    <w:p w14:paraId="1F70FF01" w14:textId="77777777" w:rsidR="0092253B" w:rsidRPr="0092253B" w:rsidRDefault="0092253B" w:rsidP="0092253B">
      <w:pPr>
        <w:spacing w:before="100" w:beforeAutospacing="1" w:after="100" w:afterAutospacing="1"/>
      </w:pPr>
      <w:r w:rsidRPr="0092253B">
        <w:rPr>
          <w:b/>
          <w:bCs/>
        </w:rPr>
        <w:t>2006 · 收购BOC，成为全球第一</w:t>
      </w:r>
      <w:r w:rsidRPr="0092253B">
        <w:br/>
        <w:t xml:space="preserve">以 </w:t>
      </w:r>
      <w:r w:rsidRPr="0092253B">
        <w:rPr>
          <w:b/>
          <w:bCs/>
        </w:rPr>
        <w:t>€117亿（约$144亿）</w:t>
      </w:r>
      <w:r w:rsidRPr="0092253B">
        <w:t xml:space="preserve"> 现金收购英国BOC集团，完成林德历史上最大的收购。合并后</w:t>
      </w:r>
      <w:proofErr w:type="spellStart"/>
      <w:r w:rsidRPr="0092253B">
        <w:t>Linde+BOC</w:t>
      </w:r>
      <w:proofErr w:type="spellEnd"/>
      <w:r w:rsidRPr="0092253B">
        <w:t>占全球工业气体市场21%份额，超越Air Liquide（19%）成为全球最大工业气体公司。为获取反垄断批准，在美国等市场进行了规模可观的资产剥离。</w:t>
      </w:r>
    </w:p>
    <w:p w14:paraId="4CF39CC2" w14:textId="77777777" w:rsidR="0092253B" w:rsidRPr="0092253B" w:rsidRDefault="0092253B" w:rsidP="0092253B">
      <w:pPr>
        <w:spacing w:before="100" w:beforeAutospacing="1" w:after="100" w:afterAutospacing="1"/>
      </w:pPr>
      <w:r w:rsidRPr="0092253B">
        <w:rPr>
          <w:b/>
          <w:bCs/>
        </w:rPr>
        <w:t>2006-2007 · 剥离非气体业务</w:t>
      </w:r>
    </w:p>
    <w:p w14:paraId="38D19EAF" w14:textId="77777777" w:rsidR="0092253B" w:rsidRPr="0092253B" w:rsidRDefault="0092253B" w:rsidP="0092253B">
      <w:pPr>
        <w:numPr>
          <w:ilvl w:val="0"/>
          <w:numId w:val="24"/>
        </w:numPr>
        <w:spacing w:before="100" w:beforeAutospacing="1" w:after="100" w:afterAutospacing="1"/>
      </w:pPr>
      <w:r w:rsidRPr="0092253B">
        <w:t xml:space="preserve">叉车/物料搬运部门以 </w:t>
      </w:r>
      <w:r w:rsidRPr="0092253B">
        <w:rPr>
          <w:b/>
          <w:bCs/>
        </w:rPr>
        <w:t>€36亿</w:t>
      </w:r>
      <w:r w:rsidRPr="0092253B">
        <w:t xml:space="preserve"> 出售给KKR和高盛私募，重组为 </w:t>
      </w:r>
      <w:r w:rsidRPr="0092253B">
        <w:rPr>
          <w:b/>
          <w:bCs/>
        </w:rPr>
        <w:t>KION集团</w:t>
      </w:r>
      <w:r w:rsidRPr="0092253B">
        <w:t>（后在法兰克福上市，现为欧洲最大叉车制造商）</w:t>
      </w:r>
    </w:p>
    <w:p w14:paraId="5CC1821A" w14:textId="77777777" w:rsidR="0092253B" w:rsidRPr="0092253B" w:rsidRDefault="0092253B" w:rsidP="0092253B">
      <w:pPr>
        <w:numPr>
          <w:ilvl w:val="0"/>
          <w:numId w:val="24"/>
        </w:numPr>
        <w:spacing w:before="100" w:beforeAutospacing="1" w:after="100" w:afterAutospacing="1"/>
      </w:pPr>
      <w:r w:rsidRPr="0092253B">
        <w:t>出售BOC Edwards半导体设备业务（€6.85亿）</w:t>
      </w:r>
    </w:p>
    <w:p w14:paraId="06A91A2F" w14:textId="77777777" w:rsidR="0092253B" w:rsidRPr="0092253B" w:rsidRDefault="0092253B" w:rsidP="0092253B">
      <w:pPr>
        <w:numPr>
          <w:ilvl w:val="0"/>
          <w:numId w:val="24"/>
        </w:numPr>
        <w:spacing w:before="100" w:beforeAutospacing="1" w:after="100" w:afterAutospacing="1"/>
      </w:pPr>
      <w:r w:rsidRPr="0092253B">
        <w:t xml:space="preserve">重组为 </w:t>
      </w:r>
      <w:r w:rsidRPr="0092253B">
        <w:rPr>
          <w:b/>
          <w:bCs/>
        </w:rPr>
        <w:t>"林德集团"(The Linde Group)</w:t>
      </w:r>
      <w:r w:rsidRPr="0092253B">
        <w:t>，聚焦工业气体+工程两大业务</w:t>
      </w:r>
    </w:p>
    <w:p w14:paraId="0C9D8A45" w14:textId="77777777" w:rsidR="00FA2E95" w:rsidRDefault="00FA2E95" w:rsidP="00132B67"/>
    <w:p w14:paraId="19CD3512" w14:textId="77777777" w:rsidR="0092253B" w:rsidRPr="0092253B" w:rsidRDefault="0092253B" w:rsidP="002C3E5C">
      <w:pPr>
        <w:rPr>
          <w:b/>
          <w:bCs/>
        </w:rPr>
      </w:pPr>
      <w:r w:rsidRPr="0092253B">
        <w:rPr>
          <w:b/>
          <w:bCs/>
        </w:rPr>
        <w:t>Praxair 一脉（1907–2018）：从林德美国分支到独立巨头</w:t>
      </w:r>
    </w:p>
    <w:p w14:paraId="7079B121" w14:textId="77777777" w:rsidR="0092253B" w:rsidRDefault="0092253B" w:rsidP="0092253B">
      <w:pPr>
        <w:pStyle w:val="ae"/>
      </w:pPr>
      <w:r>
        <w:rPr>
          <w:rStyle w:val="af"/>
        </w:rPr>
        <w:t>1907 · 起源</w:t>
      </w:r>
      <w:r>
        <w:br/>
        <w:t xml:space="preserve">Carl von Linde 在美国设立 </w:t>
      </w:r>
      <w:r>
        <w:rPr>
          <w:rStyle w:val="af"/>
        </w:rPr>
        <w:t>Linde Air Products Company</w:t>
      </w:r>
      <w:r>
        <w:t>，成为北美第一家商业化低温生产氧气的公司。</w:t>
      </w:r>
    </w:p>
    <w:p w14:paraId="078D24AB" w14:textId="77777777" w:rsidR="0092253B" w:rsidRDefault="0092253B" w:rsidP="0092253B">
      <w:pPr>
        <w:pStyle w:val="ae"/>
      </w:pPr>
      <w:r>
        <w:rPr>
          <w:rStyle w:val="af"/>
        </w:rPr>
        <w:lastRenderedPageBreak/>
        <w:t>1917-1919 · 一战没收</w:t>
      </w:r>
      <w:r>
        <w:br/>
        <w:t xml:space="preserve">一战期间，作为德国企业资产被美国政府没收，1919年出售给 </w:t>
      </w:r>
      <w:r>
        <w:rPr>
          <w:rStyle w:val="af"/>
        </w:rPr>
        <w:t>Union Carbide（联合碳化物）</w:t>
      </w:r>
      <w:r>
        <w:t>，林德品牌的美国使用权一并转让。此后数十年，该业务作为Union Carbide的"Linde Division"运营。</w:t>
      </w:r>
    </w:p>
    <w:p w14:paraId="4CC47A54" w14:textId="77777777" w:rsidR="0092253B" w:rsidRDefault="0092253B" w:rsidP="0092253B">
      <w:pPr>
        <w:pStyle w:val="ae"/>
      </w:pPr>
      <w:r>
        <w:rPr>
          <w:rStyle w:val="af"/>
        </w:rPr>
        <w:t>1988 · 更名</w:t>
      </w:r>
      <w:r>
        <w:br/>
        <w:t>Linde Division更名为Union Carbide Industrial Gases。</w:t>
      </w:r>
    </w:p>
    <w:p w14:paraId="2895C9ED" w14:textId="77777777" w:rsidR="0092253B" w:rsidRDefault="0092253B" w:rsidP="0092253B">
      <w:pPr>
        <w:pStyle w:val="ae"/>
      </w:pPr>
      <w:r>
        <w:rPr>
          <w:rStyle w:val="af"/>
        </w:rPr>
        <w:t>1992 · 分拆独立</w:t>
      </w:r>
      <w:r>
        <w:br/>
        <w:t xml:space="preserve">1992年6月30日，Union Carbide将工业气体部门分拆上市，新公司命名为 </w:t>
      </w:r>
      <w:r>
        <w:rPr>
          <w:rStyle w:val="af"/>
        </w:rPr>
        <w:t>Praxair</w:t>
      </w:r>
      <w:r>
        <w:t>（源自希腊语"praxis"=实践 + "air"=空气）。分拆时年销售额超$25亿，员工18,600人——比母公司Union Carbide还多。</w:t>
      </w:r>
    </w:p>
    <w:p w14:paraId="157041AC" w14:textId="77777777" w:rsidR="0092253B" w:rsidRDefault="0092253B" w:rsidP="0092253B">
      <w:pPr>
        <w:pStyle w:val="ae"/>
      </w:pPr>
      <w:r>
        <w:rPr>
          <w:rStyle w:val="af"/>
        </w:rPr>
        <w:t>2007-2018 · Steve Angel时代</w:t>
      </w:r>
      <w:r>
        <w:br/>
        <w:t xml:space="preserve">Steve Angel于2007年出任CEO，在任11年将Praxair打造为 </w:t>
      </w:r>
      <w:r>
        <w:rPr>
          <w:rStyle w:val="af"/>
        </w:rPr>
        <w:t>行业内盈利能力最强的公司</w:t>
      </w:r>
      <w:r>
        <w:t>：</w:t>
      </w:r>
    </w:p>
    <w:p w14:paraId="0E941C49" w14:textId="77777777" w:rsidR="0092253B" w:rsidRDefault="0092253B" w:rsidP="0092253B">
      <w:pPr>
        <w:numPr>
          <w:ilvl w:val="0"/>
          <w:numId w:val="25"/>
        </w:numPr>
        <w:spacing w:before="100" w:beforeAutospacing="1" w:after="100" w:afterAutospacing="1"/>
      </w:pPr>
      <w:r>
        <w:t>营业利润率~21-22%，EBITDA利润率~32%</w:t>
      </w:r>
    </w:p>
    <w:p w14:paraId="630DC3DB" w14:textId="77777777" w:rsidR="0092253B" w:rsidRDefault="0092253B" w:rsidP="0092253B">
      <w:pPr>
        <w:numPr>
          <w:ilvl w:val="0"/>
          <w:numId w:val="25"/>
        </w:numPr>
        <w:spacing w:before="100" w:beforeAutospacing="1" w:after="100" w:afterAutospacing="1"/>
      </w:pPr>
      <w:r>
        <w:t>极度纪律性的资本配置，聚焦11个核心地理市场</w:t>
      </w:r>
    </w:p>
    <w:p w14:paraId="221F9043" w14:textId="77777777" w:rsidR="0092253B" w:rsidRDefault="0092253B" w:rsidP="0092253B">
      <w:pPr>
        <w:numPr>
          <w:ilvl w:val="0"/>
          <w:numId w:val="25"/>
        </w:numPr>
        <w:spacing w:before="100" w:beforeAutospacing="1" w:after="100" w:afterAutospacing="1"/>
      </w:pPr>
      <w:r>
        <w:t>强调运营效率、安全和回报率的"绩效文化"</w:t>
      </w:r>
    </w:p>
    <w:p w14:paraId="0A9561EA" w14:textId="77777777" w:rsidR="00FA2E95" w:rsidRPr="0092253B" w:rsidRDefault="00FA2E95" w:rsidP="00132B67"/>
    <w:p w14:paraId="082A52B9" w14:textId="24B721FF" w:rsidR="00FA2E95" w:rsidRPr="006F2522" w:rsidRDefault="006F2522" w:rsidP="002C3E5C">
      <w:pPr>
        <w:rPr>
          <w:b/>
          <w:bCs/>
        </w:rPr>
      </w:pPr>
      <w:r w:rsidRPr="006F2522">
        <w:rPr>
          <w:b/>
          <w:bCs/>
        </w:rPr>
        <w:t>对等合并（2016–2018）：Linde plc 诞生</w:t>
      </w:r>
    </w:p>
    <w:p w14:paraId="137807EE" w14:textId="656D0053" w:rsidR="006F2522" w:rsidRDefault="00EF3B47" w:rsidP="00132B67">
      <w:r w:rsidRPr="00EF3B47">
        <w:rPr>
          <w:noProof/>
        </w:rPr>
        <w:drawing>
          <wp:inline distT="0" distB="0" distL="0" distR="0" wp14:anchorId="21B26C63" wp14:editId="15BEF336">
            <wp:extent cx="6645910" cy="2240280"/>
            <wp:effectExtent l="0" t="0" r="0" b="0"/>
            <wp:docPr id="132503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1363" name=""/>
                    <pic:cNvPicPr/>
                  </pic:nvPicPr>
                  <pic:blipFill>
                    <a:blip r:embed="rId6"/>
                    <a:stretch>
                      <a:fillRect/>
                    </a:stretch>
                  </pic:blipFill>
                  <pic:spPr>
                    <a:xfrm>
                      <a:off x="0" y="0"/>
                      <a:ext cx="6645910" cy="2240280"/>
                    </a:xfrm>
                    <a:prstGeom prst="rect">
                      <a:avLst/>
                    </a:prstGeom>
                  </pic:spPr>
                </pic:pic>
              </a:graphicData>
            </a:graphic>
          </wp:inline>
        </w:drawing>
      </w:r>
    </w:p>
    <w:p w14:paraId="7B8FB393" w14:textId="77777777" w:rsidR="0053256E" w:rsidRDefault="0053256E" w:rsidP="0053256E">
      <w:pPr>
        <w:pStyle w:val="ae"/>
      </w:pPr>
      <w:r>
        <w:rPr>
          <w:rStyle w:val="af"/>
        </w:rPr>
        <w:t>交易结构：</w:t>
      </w:r>
    </w:p>
    <w:p w14:paraId="52E90ADB" w14:textId="77777777" w:rsidR="0053256E" w:rsidRDefault="0053256E" w:rsidP="0053256E">
      <w:pPr>
        <w:numPr>
          <w:ilvl w:val="0"/>
          <w:numId w:val="26"/>
        </w:numPr>
        <w:spacing w:before="100" w:beforeAutospacing="1" w:after="100" w:afterAutospacing="1"/>
      </w:pPr>
      <w:r>
        <w:t>Linde AG股东：每股换1.54股新公司股票</w:t>
      </w:r>
    </w:p>
    <w:p w14:paraId="51526885" w14:textId="77777777" w:rsidR="0053256E" w:rsidRDefault="0053256E" w:rsidP="0053256E">
      <w:pPr>
        <w:numPr>
          <w:ilvl w:val="0"/>
          <w:numId w:val="26"/>
        </w:numPr>
        <w:spacing w:before="100" w:beforeAutospacing="1" w:after="100" w:afterAutospacing="1"/>
      </w:pPr>
      <w:r>
        <w:t>Praxair股东：每股换1股新公司股票</w:t>
      </w:r>
    </w:p>
    <w:p w14:paraId="6180A4E9" w14:textId="77777777" w:rsidR="0053256E" w:rsidRDefault="0053256E" w:rsidP="0053256E">
      <w:pPr>
        <w:numPr>
          <w:ilvl w:val="0"/>
          <w:numId w:val="26"/>
        </w:numPr>
        <w:spacing w:before="100" w:beforeAutospacing="1" w:after="100" w:afterAutospacing="1"/>
      </w:pPr>
      <w:r>
        <w:t>双方各持有约50%新公司股权</w:t>
      </w:r>
    </w:p>
    <w:p w14:paraId="1F435C62" w14:textId="77777777" w:rsidR="0053256E" w:rsidRDefault="0053256E" w:rsidP="0053256E">
      <w:pPr>
        <w:numPr>
          <w:ilvl w:val="0"/>
          <w:numId w:val="26"/>
        </w:numPr>
        <w:spacing w:before="100" w:beforeAutospacing="1" w:after="100" w:afterAutospacing="1"/>
      </w:pPr>
      <w:r>
        <w:t xml:space="preserve">合并市值约 </w:t>
      </w:r>
      <w:r>
        <w:rPr>
          <w:rStyle w:val="af"/>
        </w:rPr>
        <w:t>$900亿</w:t>
      </w:r>
    </w:p>
    <w:p w14:paraId="763BD7FE" w14:textId="77777777" w:rsidR="0053256E" w:rsidRDefault="0053256E" w:rsidP="0053256E">
      <w:pPr>
        <w:numPr>
          <w:ilvl w:val="0"/>
          <w:numId w:val="26"/>
        </w:numPr>
        <w:spacing w:before="100" w:beforeAutospacing="1" w:after="100" w:afterAutospacing="1"/>
      </w:pPr>
      <w:r>
        <w:t xml:space="preserve">为获得20+个司法管辖区的反垄断批准，剥离资产超 </w:t>
      </w:r>
      <w:r>
        <w:rPr>
          <w:rStyle w:val="af"/>
        </w:rPr>
        <w:t>$80亿</w:t>
      </w:r>
      <w:r>
        <w:t>（主要出售给Messer和CVC）</w:t>
      </w:r>
    </w:p>
    <w:p w14:paraId="70DA148C" w14:textId="77777777" w:rsidR="0053256E" w:rsidRDefault="0053256E" w:rsidP="0053256E">
      <w:pPr>
        <w:numPr>
          <w:ilvl w:val="0"/>
          <w:numId w:val="26"/>
        </w:numPr>
        <w:spacing w:before="100" w:beforeAutospacing="1" w:after="100" w:afterAutospacing="1"/>
      </w:pPr>
      <w:r>
        <w:t xml:space="preserve">预期年度协同效应 </w:t>
      </w:r>
      <w:r>
        <w:rPr>
          <w:rStyle w:val="af"/>
        </w:rPr>
        <w:t>$11-12亿</w:t>
      </w:r>
    </w:p>
    <w:p w14:paraId="795320A3" w14:textId="77777777" w:rsidR="0053256E" w:rsidRDefault="0053256E" w:rsidP="0053256E">
      <w:pPr>
        <w:pStyle w:val="ae"/>
      </w:pPr>
      <w:r>
        <w:rPr>
          <w:rStyle w:val="af"/>
        </w:rPr>
        <w:t>管理层安排：</w:t>
      </w:r>
    </w:p>
    <w:p w14:paraId="05180F12" w14:textId="77777777" w:rsidR="0053256E" w:rsidRDefault="0053256E" w:rsidP="0053256E">
      <w:pPr>
        <w:numPr>
          <w:ilvl w:val="0"/>
          <w:numId w:val="27"/>
        </w:numPr>
        <w:spacing w:before="100" w:beforeAutospacing="1" w:after="100" w:afterAutospacing="1"/>
      </w:pPr>
      <w:r>
        <w:t>Steve Angel出任首任CEO + 董事长</w:t>
      </w:r>
    </w:p>
    <w:p w14:paraId="0706D0C7" w14:textId="77777777" w:rsidR="0053256E" w:rsidRDefault="0053256E" w:rsidP="0053256E">
      <w:pPr>
        <w:numPr>
          <w:ilvl w:val="0"/>
          <w:numId w:val="27"/>
        </w:numPr>
        <w:spacing w:before="100" w:beforeAutospacing="1" w:after="100" w:afterAutospacing="1"/>
      </w:pPr>
      <w:r>
        <w:t>董事会双方各半</w:t>
      </w:r>
    </w:p>
    <w:p w14:paraId="2B840E5A" w14:textId="77777777" w:rsidR="0053256E" w:rsidRDefault="0053256E" w:rsidP="0053256E">
      <w:pPr>
        <w:numPr>
          <w:ilvl w:val="0"/>
          <w:numId w:val="27"/>
        </w:numPr>
        <w:spacing w:before="100" w:beforeAutospacing="1" w:after="100" w:afterAutospacing="1"/>
      </w:pPr>
      <w:r>
        <w:t>管理团队各出三名高管</w:t>
      </w:r>
    </w:p>
    <w:p w14:paraId="0427650C" w14:textId="77777777" w:rsidR="0053256E" w:rsidRDefault="0053256E" w:rsidP="0053256E">
      <w:pPr>
        <w:numPr>
          <w:ilvl w:val="0"/>
          <w:numId w:val="27"/>
        </w:numPr>
        <w:spacing w:before="100" w:beforeAutospacing="1" w:after="100" w:afterAutospacing="1"/>
      </w:pPr>
      <w:r>
        <w:t>总部注册地：爱尔兰（税务优化），运营总部：英国吉尔福德</w:t>
      </w:r>
    </w:p>
    <w:p w14:paraId="4A8E5EA0" w14:textId="77777777" w:rsidR="006F2522" w:rsidRDefault="006F2522" w:rsidP="00132B67"/>
    <w:p w14:paraId="1A4F48C2" w14:textId="67D06452" w:rsidR="0053256E" w:rsidRPr="002E08B6" w:rsidRDefault="002E08B6" w:rsidP="002C3E5C">
      <w:pPr>
        <w:rPr>
          <w:b/>
          <w:bCs/>
        </w:rPr>
      </w:pPr>
      <w:r w:rsidRPr="002E08B6">
        <w:rPr>
          <w:b/>
          <w:bCs/>
        </w:rPr>
        <w:t>后合并时代（2019–至今）：Praxair管理哲学的全面植入</w:t>
      </w:r>
    </w:p>
    <w:p w14:paraId="2415D468" w14:textId="77777777" w:rsidR="002E08B6" w:rsidRDefault="002E08B6" w:rsidP="002E08B6">
      <w:pPr>
        <w:pStyle w:val="ae"/>
      </w:pPr>
      <w:r>
        <w:rPr>
          <w:rStyle w:val="af"/>
        </w:rPr>
        <w:t>2022年3月 · CEO交接</w:t>
      </w:r>
      <w:r>
        <w:br/>
        <w:t>Sanjiv Lamba（印度裔，林德AG体系出身，长期负责亚太业务）接任CEO，Steve Angel继续担任非执行董事长至2026年1月退休。</w:t>
      </w:r>
    </w:p>
    <w:p w14:paraId="17E63A14" w14:textId="70A943B6" w:rsidR="0053256E" w:rsidRPr="002E08B6" w:rsidRDefault="002E08B6" w:rsidP="00132B67">
      <w:r w:rsidRPr="002E08B6">
        <w:rPr>
          <w:noProof/>
        </w:rPr>
        <w:drawing>
          <wp:inline distT="0" distB="0" distL="0" distR="0" wp14:anchorId="289786D8" wp14:editId="37C7415B">
            <wp:extent cx="6645910" cy="1813560"/>
            <wp:effectExtent l="0" t="0" r="0" b="2540"/>
            <wp:docPr id="2049669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9815" name=""/>
                    <pic:cNvPicPr/>
                  </pic:nvPicPr>
                  <pic:blipFill>
                    <a:blip r:embed="rId7"/>
                    <a:stretch>
                      <a:fillRect/>
                    </a:stretch>
                  </pic:blipFill>
                  <pic:spPr>
                    <a:xfrm>
                      <a:off x="0" y="0"/>
                      <a:ext cx="6645910" cy="1813560"/>
                    </a:xfrm>
                    <a:prstGeom prst="rect">
                      <a:avLst/>
                    </a:prstGeom>
                  </pic:spPr>
                </pic:pic>
              </a:graphicData>
            </a:graphic>
          </wp:inline>
        </w:drawing>
      </w:r>
    </w:p>
    <w:p w14:paraId="02E29764" w14:textId="77777777" w:rsidR="003549EB" w:rsidRDefault="003549EB" w:rsidP="003549EB">
      <w:pPr>
        <w:pStyle w:val="ae"/>
      </w:pPr>
      <w:r>
        <w:rPr>
          <w:rStyle w:val="af"/>
        </w:rPr>
        <w:t>合并后最显著的变化是 Praxair的利润率文化彻底改造了原Linde AG的运营体系</w:t>
      </w:r>
      <w:r>
        <w:t>——从合并前Linde AG的~15-16%营业利润率提升至29.8%，几乎翻倍。这主要通过：</w:t>
      </w:r>
    </w:p>
    <w:p w14:paraId="49D67FCA" w14:textId="77777777" w:rsidR="003549EB" w:rsidRDefault="003549EB" w:rsidP="003549EB">
      <w:pPr>
        <w:numPr>
          <w:ilvl w:val="0"/>
          <w:numId w:val="28"/>
        </w:numPr>
        <w:spacing w:before="100" w:beforeAutospacing="1" w:after="100" w:afterAutospacing="1"/>
      </w:pPr>
      <w:r>
        <w:t>统一定价纪律</w:t>
      </w:r>
    </w:p>
    <w:p w14:paraId="44F14585" w14:textId="77777777" w:rsidR="003549EB" w:rsidRDefault="003549EB" w:rsidP="003549EB">
      <w:pPr>
        <w:numPr>
          <w:ilvl w:val="0"/>
          <w:numId w:val="28"/>
        </w:numPr>
        <w:spacing w:before="100" w:beforeAutospacing="1" w:after="100" w:afterAutospacing="1"/>
      </w:pPr>
      <w:r>
        <w:t>大规模裁减冗余人员（从~85,000人降至~66,000人）</w:t>
      </w:r>
    </w:p>
    <w:p w14:paraId="7704E7B0" w14:textId="77777777" w:rsidR="003549EB" w:rsidRDefault="003549EB" w:rsidP="003549EB">
      <w:pPr>
        <w:numPr>
          <w:ilvl w:val="0"/>
          <w:numId w:val="28"/>
        </w:numPr>
        <w:spacing w:before="100" w:beforeAutospacing="1" w:after="100" w:afterAutospacing="1"/>
      </w:pPr>
      <w:r>
        <w:t>Praxair式的分权管理+严格KPI考核</w:t>
      </w:r>
    </w:p>
    <w:p w14:paraId="12394C1E" w14:textId="77777777" w:rsidR="003549EB" w:rsidRDefault="003549EB" w:rsidP="003549EB">
      <w:pPr>
        <w:numPr>
          <w:ilvl w:val="0"/>
          <w:numId w:val="28"/>
        </w:numPr>
        <w:spacing w:before="100" w:beforeAutospacing="1" w:after="100" w:afterAutospacing="1"/>
      </w:pPr>
      <w:r>
        <w:t>Praxair的购买性会计处理下D&amp;A逐年递减（从FY2019 $4,675M → FY2025 $3,763M），也贡献了账面利润率提升</w:t>
      </w:r>
    </w:p>
    <w:p w14:paraId="4911E559" w14:textId="77777777" w:rsidR="0053256E" w:rsidRPr="003549EB" w:rsidRDefault="0053256E" w:rsidP="00132B67"/>
    <w:p w14:paraId="794B595C" w14:textId="665EE809" w:rsidR="006C0C23" w:rsidRDefault="006C0C23" w:rsidP="00132B67">
      <w:pPr>
        <w:pStyle w:val="2"/>
      </w:pPr>
      <w:r>
        <w:rPr>
          <w:rFonts w:hint="eastAsia"/>
        </w:rPr>
        <w:t>战略</w:t>
      </w:r>
    </w:p>
    <w:p w14:paraId="00F29B98" w14:textId="781D9048" w:rsidR="006C0C23" w:rsidRPr="006C0C23" w:rsidRDefault="006C0C23" w:rsidP="00132B67">
      <w:pPr>
        <w:rPr>
          <w:b/>
          <w:bCs/>
        </w:rPr>
      </w:pPr>
      <w:r w:rsidRPr="006C0C23">
        <w:rPr>
          <w:b/>
          <w:bCs/>
        </w:rPr>
        <w:t>清洁能源与氢能战略</w:t>
      </w:r>
    </w:p>
    <w:p w14:paraId="65086A07" w14:textId="62F055FC" w:rsidR="006C0C23" w:rsidRDefault="006C0C23" w:rsidP="00132B67">
      <w:pPr>
        <w:pStyle w:val="ae"/>
      </w:pPr>
      <w:r>
        <w:t>Linde 将清洁能源转型、尤其是氢能，定位为一项核心战略增长支柱。公司将氢能定位为「向低碳与零碳能源转型的关键使能器」，到 2030 年，氢能在超过 20 种应用中（包括长途卡车运输、航运与钢铁）或将成为最具竞争力的低碳解决方案。</w:t>
      </w:r>
    </w:p>
    <w:p w14:paraId="0ED86D1B" w14:textId="5527618A" w:rsidR="006C0C23" w:rsidRDefault="006C0C23" w:rsidP="00132B67">
      <w:pPr>
        <w:pStyle w:val="ae"/>
      </w:pPr>
      <w:r>
        <w:t>在战略层面，Linde 描述了一条从灰氢到蓝氢再到绿氢的阶段性路径，在三条路径上持续投资，同时构建互补的碳捕集（CCUS）能力作为蓝氢及更广泛工业脱碳的使能器。</w:t>
      </w:r>
    </w:p>
    <w:p w14:paraId="32D5A363" w14:textId="758C78F3" w:rsidR="006C0C23" w:rsidRPr="00CF39F9" w:rsidRDefault="00CF39F9" w:rsidP="00132B67">
      <w:pPr>
        <w:rPr>
          <w:b/>
          <w:bCs/>
        </w:rPr>
      </w:pPr>
      <w:r w:rsidRPr="00CF39F9">
        <w:rPr>
          <w:rFonts w:hint="eastAsia"/>
          <w:b/>
          <w:bCs/>
        </w:rPr>
        <w:t>投资者价值主张</w:t>
      </w:r>
    </w:p>
    <w:p w14:paraId="4CBE6C3C" w14:textId="4473DBAD" w:rsidR="00850DD9" w:rsidRPr="00850DD9" w:rsidRDefault="00850DD9" w:rsidP="00132B67">
      <w:pPr>
        <w:numPr>
          <w:ilvl w:val="0"/>
          <w:numId w:val="5"/>
        </w:numPr>
        <w:spacing w:before="100" w:beforeAutospacing="1" w:after="100" w:afterAutospacing="1"/>
      </w:pPr>
      <w:r w:rsidRPr="00850DD9">
        <w:t>明确承诺每股收益（EPS）平均每年增长超过10%。</w:t>
      </w:r>
    </w:p>
    <w:p w14:paraId="404B26F8" w14:textId="2BBF63B3" w:rsidR="00850DD9" w:rsidRPr="00850DD9" w:rsidRDefault="00850DD9" w:rsidP="00132B67">
      <w:pPr>
        <w:numPr>
          <w:ilvl w:val="0"/>
          <w:numId w:val="5"/>
        </w:numPr>
        <w:spacing w:before="100" w:beforeAutospacing="1" w:after="100" w:afterAutospacing="1"/>
      </w:pPr>
      <w:r w:rsidRPr="00850DD9">
        <w:t>被认可为「股息贵族」，已连续 32 年上调股息。</w:t>
      </w:r>
    </w:p>
    <w:p w14:paraId="5A29B4FF" w14:textId="3B0CAAFE" w:rsidR="00CF39F9" w:rsidRPr="00E7264D" w:rsidRDefault="00850DD9" w:rsidP="00132B67">
      <w:pPr>
        <w:numPr>
          <w:ilvl w:val="0"/>
          <w:numId w:val="5"/>
        </w:numPr>
        <w:spacing w:before="100" w:beforeAutospacing="1" w:after="100" w:afterAutospacing="1"/>
      </w:pPr>
      <w:r w:rsidRPr="00850DD9">
        <w:t>自称聚焦于通过一体化供应模型提升网络密度，并称这带来了业内最高的资本回报率（ROC）。</w:t>
      </w:r>
    </w:p>
    <w:p w14:paraId="7576F268" w14:textId="77777777" w:rsidR="00CF39F9" w:rsidRDefault="00CF39F9" w:rsidP="00132B67"/>
    <w:p w14:paraId="661A0F67" w14:textId="5C972D6F" w:rsidR="00D215C6" w:rsidRPr="00D215C6" w:rsidRDefault="006C0C23" w:rsidP="00132B67">
      <w:pPr>
        <w:pStyle w:val="2"/>
      </w:pPr>
      <w:r>
        <w:rPr>
          <w:rFonts w:hint="eastAsia"/>
        </w:rPr>
        <w:lastRenderedPageBreak/>
        <w:t>商业模式</w:t>
      </w:r>
    </w:p>
    <w:p w14:paraId="31D2D87A" w14:textId="5658C84C" w:rsidR="00C508DE" w:rsidRDefault="00A271CA" w:rsidP="00132B67">
      <w:r>
        <w:rPr>
          <w:rFonts w:ascii="Helvetica Neue" w:hAnsi="Helvetica Neue"/>
          <w:color w:val="333333"/>
          <w:shd w:val="clear" w:color="auto" w:fill="FFFFFF"/>
        </w:rPr>
        <w:t>核心模型以长期合同、本地供应密度和管道</w:t>
      </w:r>
      <w:r>
        <w:rPr>
          <w:rFonts w:ascii="Helvetica Neue" w:hAnsi="Helvetica Neue"/>
          <w:color w:val="333333"/>
          <w:shd w:val="clear" w:color="auto" w:fill="FFFFFF"/>
        </w:rPr>
        <w:t>/</w:t>
      </w:r>
      <w:r>
        <w:rPr>
          <w:rFonts w:ascii="Helvetica Neue" w:hAnsi="Helvetica Neue"/>
          <w:color w:val="333333"/>
          <w:shd w:val="clear" w:color="auto" w:fill="FFFFFF"/>
        </w:rPr>
        <w:t>现场供气为主，</w:t>
      </w:r>
      <w:r w:rsidR="00450147">
        <w:rPr>
          <w:rFonts w:ascii="Helvetica Neue" w:hAnsi="Helvetica Neue"/>
          <w:color w:val="333333"/>
          <w:shd w:val="clear" w:color="auto" w:fill="FFFFFF"/>
        </w:rPr>
        <w:t>围绕本地生产网络、管道</w:t>
      </w:r>
      <w:r w:rsidR="00450147">
        <w:rPr>
          <w:rFonts w:ascii="Helvetica Neue" w:hAnsi="Helvetica Neue"/>
          <w:color w:val="333333"/>
          <w:shd w:val="clear" w:color="auto" w:fill="FFFFFF"/>
        </w:rPr>
        <w:t>/</w:t>
      </w:r>
      <w:r w:rsidR="00450147">
        <w:rPr>
          <w:rFonts w:ascii="Helvetica Neue" w:hAnsi="Helvetica Neue"/>
          <w:color w:val="333333"/>
          <w:shd w:val="clear" w:color="auto" w:fill="FFFFFF"/>
        </w:rPr>
        <w:t>现场供气和长期合同</w:t>
      </w:r>
      <w:r w:rsidR="00542374">
        <w:rPr>
          <w:rFonts w:ascii="Helvetica Neue" w:hAnsi="Helvetica Neue" w:hint="eastAsia"/>
          <w:color w:val="333333"/>
          <w:shd w:val="clear" w:color="auto" w:fill="FFFFFF"/>
        </w:rPr>
        <w:t>。</w:t>
      </w:r>
      <w:r w:rsidR="00DB4604">
        <w:rPr>
          <w:rFonts w:ascii="Helvetica Neue" w:hAnsi="Helvetica Neue"/>
          <w:color w:val="333333"/>
          <w:shd w:val="clear" w:color="auto" w:fill="FFFFFF"/>
        </w:rPr>
        <w:t>核心价值来自纯度、供应稳定性、现场设施和物流半径</w:t>
      </w:r>
      <w:r w:rsidR="00DB4604">
        <w:rPr>
          <w:rFonts w:ascii="Helvetica Neue" w:hAnsi="Helvetica Neue" w:hint="eastAsia"/>
          <w:color w:val="333333"/>
          <w:shd w:val="clear" w:color="auto" w:fill="FFFFFF"/>
        </w:rPr>
        <w:t>。</w:t>
      </w:r>
    </w:p>
    <w:p w14:paraId="352FF8E2" w14:textId="24907576" w:rsidR="00AF0489" w:rsidRPr="007E5BBE" w:rsidRDefault="00C508DE" w:rsidP="00132B67">
      <w:r w:rsidRPr="00C64304">
        <w:rPr>
          <w:rFonts w:ascii="Helvetica Neue" w:hAnsi="Helvetica Neue"/>
          <w:b/>
          <w:bCs/>
          <w:color w:val="333333"/>
          <w:shd w:val="clear" w:color="auto" w:fill="FFFFFF"/>
        </w:rPr>
        <w:t>联合生产模式</w:t>
      </w:r>
      <w:r w:rsidR="00C64304">
        <w:rPr>
          <w:rFonts w:ascii="Helvetica Neue" w:hAnsi="Helvetica Neue" w:hint="eastAsia"/>
          <w:color w:val="333333"/>
          <w:shd w:val="clear" w:color="auto" w:fill="FFFFFF"/>
        </w:rPr>
        <w:t>：</w:t>
      </w:r>
      <w:r>
        <w:rPr>
          <w:rFonts w:ascii="Helvetica Neue" w:hAnsi="Helvetica Neue"/>
          <w:color w:val="333333"/>
          <w:shd w:val="clear" w:color="auto" w:fill="FFFFFF"/>
        </w:rPr>
        <w:t>常压气体和工艺气体常在同一生产过程中作为共生产品出现；现场空分装置往往同时生产现场供应气体和面向商户市场的液体产品。</w:t>
      </w:r>
    </w:p>
    <w:p w14:paraId="1508B65D" w14:textId="09DAE83C" w:rsidR="00E4535B" w:rsidRDefault="00DA74F6" w:rsidP="00132B67">
      <w:r w:rsidRPr="00DA74F6">
        <w:rPr>
          <w:noProof/>
        </w:rPr>
        <w:drawing>
          <wp:inline distT="0" distB="0" distL="0" distR="0" wp14:anchorId="4B4B3803" wp14:editId="1F296501">
            <wp:extent cx="6645910" cy="3056890"/>
            <wp:effectExtent l="0" t="0" r="0" b="3810"/>
            <wp:docPr id="199044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4060" name=""/>
                    <pic:cNvPicPr/>
                  </pic:nvPicPr>
                  <pic:blipFill>
                    <a:blip r:embed="rId8"/>
                    <a:stretch>
                      <a:fillRect/>
                    </a:stretch>
                  </pic:blipFill>
                  <pic:spPr>
                    <a:xfrm>
                      <a:off x="0" y="0"/>
                      <a:ext cx="6645910" cy="3056890"/>
                    </a:xfrm>
                    <a:prstGeom prst="rect">
                      <a:avLst/>
                    </a:prstGeom>
                  </pic:spPr>
                </pic:pic>
              </a:graphicData>
            </a:graphic>
          </wp:inline>
        </w:drawing>
      </w:r>
    </w:p>
    <w:p w14:paraId="22F766DA" w14:textId="2142F04E" w:rsidR="00E4535B" w:rsidRDefault="00391E6B" w:rsidP="00132B67">
      <w:r w:rsidRPr="00391E6B">
        <w:rPr>
          <w:noProof/>
        </w:rPr>
        <w:drawing>
          <wp:inline distT="0" distB="0" distL="0" distR="0" wp14:anchorId="2009B635" wp14:editId="258082A0">
            <wp:extent cx="6645910" cy="2312670"/>
            <wp:effectExtent l="0" t="0" r="0" b="0"/>
            <wp:docPr id="166056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4710" name=""/>
                    <pic:cNvPicPr/>
                  </pic:nvPicPr>
                  <pic:blipFill>
                    <a:blip r:embed="rId9"/>
                    <a:stretch>
                      <a:fillRect/>
                    </a:stretch>
                  </pic:blipFill>
                  <pic:spPr>
                    <a:xfrm>
                      <a:off x="0" y="0"/>
                      <a:ext cx="6645910" cy="2312670"/>
                    </a:xfrm>
                    <a:prstGeom prst="rect">
                      <a:avLst/>
                    </a:prstGeom>
                  </pic:spPr>
                </pic:pic>
              </a:graphicData>
            </a:graphic>
          </wp:inline>
        </w:drawing>
      </w:r>
    </w:p>
    <w:p w14:paraId="4EF1BDA1" w14:textId="1AE5A607" w:rsidR="001D4720" w:rsidRDefault="001D4720" w:rsidP="00132B67">
      <w:r w:rsidRPr="00684CDA">
        <w:rPr>
          <w:rFonts w:ascii="Helvetica Neue" w:hAnsi="Helvetica Neue" w:hint="eastAsia"/>
          <w:b/>
          <w:bCs/>
          <w:color w:val="333333"/>
          <w:shd w:val="clear" w:color="auto" w:fill="FFFFFF"/>
        </w:rPr>
        <w:t>价格</w:t>
      </w:r>
      <w:r>
        <w:rPr>
          <w:rFonts w:ascii="Helvetica Neue" w:hAnsi="Helvetica Neue" w:hint="eastAsia"/>
          <w:color w:val="333333"/>
          <w:shd w:val="clear" w:color="auto" w:fill="FFFFFF"/>
        </w:rPr>
        <w:t>：价格</w:t>
      </w:r>
      <w:r>
        <w:rPr>
          <w:rFonts w:ascii="Helvetica Neue" w:hAnsi="Helvetica Neue"/>
          <w:color w:val="333333"/>
          <w:shd w:val="clear" w:color="auto" w:fill="FFFFFF"/>
        </w:rPr>
        <w:t>由产品纯度、供应模式、最低购买量、价格上调机制、物流成本和成本转嫁共同决定。管理层说能源成本变动可通过合同条款向客户转嫁，对经营利润的影响有限。</w:t>
      </w:r>
    </w:p>
    <w:p w14:paraId="11A412AF" w14:textId="14177CAF" w:rsidR="00602113" w:rsidRDefault="00684CDA" w:rsidP="00132B67">
      <w:pPr>
        <w:rPr>
          <w:rFonts w:ascii="Helvetica Neue" w:hAnsi="Helvetica Neue"/>
          <w:color w:val="333333"/>
          <w:shd w:val="clear" w:color="auto" w:fill="FFFFFF"/>
        </w:rPr>
      </w:pPr>
      <w:r w:rsidRPr="00684CDA">
        <w:rPr>
          <w:rFonts w:hint="eastAsia"/>
          <w:b/>
          <w:bCs/>
        </w:rPr>
        <w:t>成本</w:t>
      </w:r>
      <w:r>
        <w:rPr>
          <w:rFonts w:hint="eastAsia"/>
        </w:rPr>
        <w:t>：</w:t>
      </w:r>
      <w:r w:rsidR="001D5EAC">
        <w:rPr>
          <w:rFonts w:ascii="Helvetica Neue" w:hAnsi="Helvetica Neue"/>
          <w:color w:val="333333"/>
          <w:shd w:val="clear" w:color="auto" w:fill="FFFFFF"/>
        </w:rPr>
        <w:t>电力、天然气和工业副产原料。</w:t>
      </w:r>
      <w:r w:rsidR="007C1CC0">
        <w:rPr>
          <w:rFonts w:ascii="Helvetica Neue" w:hAnsi="Helvetica Neue" w:hint="eastAsia"/>
          <w:color w:val="333333"/>
          <w:shd w:val="clear" w:color="auto" w:fill="FFFFFF"/>
        </w:rPr>
        <w:t>常压气体</w:t>
      </w:r>
      <w:r w:rsidR="00C91847">
        <w:rPr>
          <w:rFonts w:ascii="Helvetica Neue" w:hAnsi="Helvetica Neue" w:hint="eastAsia"/>
          <w:color w:val="333333"/>
          <w:shd w:val="clear" w:color="auto" w:fill="FFFFFF"/>
        </w:rPr>
        <w:t>（</w:t>
      </w:r>
      <w:r w:rsidR="007C1CC0">
        <w:rPr>
          <w:rFonts w:ascii="Helvetica Neue" w:hAnsi="Helvetica Neue"/>
          <w:color w:val="333333"/>
          <w:shd w:val="clear" w:color="auto" w:fill="FFFFFF"/>
        </w:rPr>
        <w:t>常压气体空分装置</w:t>
      </w:r>
      <w:r w:rsidR="00C91847">
        <w:rPr>
          <w:rFonts w:ascii="Helvetica Neue" w:hAnsi="Helvetica Neue" w:hint="eastAsia"/>
          <w:color w:val="333333"/>
          <w:shd w:val="clear" w:color="auto" w:fill="FFFFFF"/>
        </w:rPr>
        <w:t>）的主要</w:t>
      </w:r>
      <w:r w:rsidR="00C91847">
        <w:rPr>
          <w:rFonts w:ascii="Helvetica Neue" w:hAnsi="Helvetica Neue"/>
          <w:color w:val="333333"/>
          <w:shd w:val="clear" w:color="auto" w:fill="FFFFFF"/>
        </w:rPr>
        <w:t>可变成本</w:t>
      </w:r>
      <w:r w:rsidR="00C91847">
        <w:rPr>
          <w:rFonts w:ascii="Helvetica Neue" w:hAnsi="Helvetica Neue" w:hint="eastAsia"/>
          <w:color w:val="333333"/>
          <w:shd w:val="clear" w:color="auto" w:fill="FFFFFF"/>
        </w:rPr>
        <w:t>是</w:t>
      </w:r>
      <w:r w:rsidR="00C91847">
        <w:rPr>
          <w:rFonts w:ascii="Helvetica Neue" w:hAnsi="Helvetica Neue"/>
          <w:color w:val="333333"/>
          <w:shd w:val="clear" w:color="auto" w:fill="FFFFFF"/>
        </w:rPr>
        <w:t>电力</w:t>
      </w:r>
      <w:r w:rsidR="00C91847">
        <w:rPr>
          <w:rFonts w:ascii="Helvetica Neue" w:hAnsi="Helvetica Neue" w:hint="eastAsia"/>
          <w:color w:val="333333"/>
          <w:shd w:val="clear" w:color="auto" w:fill="FFFFFF"/>
        </w:rPr>
        <w:t>；</w:t>
      </w:r>
      <w:r w:rsidR="00A35641">
        <w:rPr>
          <w:rFonts w:ascii="Helvetica Neue" w:hAnsi="Helvetica Neue"/>
          <w:color w:val="333333"/>
          <w:shd w:val="clear" w:color="auto" w:fill="FFFFFF"/>
        </w:rPr>
        <w:t>工艺气体</w:t>
      </w:r>
      <w:r w:rsidR="00A35641">
        <w:rPr>
          <w:rFonts w:ascii="Helvetica Neue" w:hAnsi="Helvetica Neue" w:hint="eastAsia"/>
          <w:color w:val="333333"/>
          <w:shd w:val="clear" w:color="auto" w:fill="FFFFFF"/>
        </w:rPr>
        <w:t>的主要</w:t>
      </w:r>
      <w:r w:rsidR="00A35641">
        <w:rPr>
          <w:rFonts w:ascii="Helvetica Neue" w:hAnsi="Helvetica Neue"/>
          <w:color w:val="333333"/>
          <w:shd w:val="clear" w:color="auto" w:fill="FFFFFF"/>
        </w:rPr>
        <w:t>可变成本</w:t>
      </w:r>
      <w:r w:rsidR="00A35641">
        <w:rPr>
          <w:rFonts w:ascii="Helvetica Neue" w:hAnsi="Helvetica Neue" w:hint="eastAsia"/>
          <w:color w:val="333333"/>
          <w:shd w:val="clear" w:color="auto" w:fill="FFFFFF"/>
        </w:rPr>
        <w:t>是</w:t>
      </w:r>
      <w:r w:rsidR="00C91847">
        <w:rPr>
          <w:rFonts w:ascii="Helvetica Neue" w:hAnsi="Helvetica Neue"/>
          <w:color w:val="333333"/>
          <w:shd w:val="clear" w:color="auto" w:fill="FFFFFF"/>
        </w:rPr>
        <w:t>天然气和原料气。</w:t>
      </w:r>
    </w:p>
    <w:p w14:paraId="6C35310B" w14:textId="77777777" w:rsidR="004B2A68" w:rsidRDefault="004B2A68" w:rsidP="00132B67">
      <w:pPr>
        <w:rPr>
          <w:rFonts w:ascii="Helvetica Neue" w:hAnsi="Helvetica Neue"/>
          <w:color w:val="333333"/>
          <w:shd w:val="clear" w:color="auto" w:fill="FFFFFF"/>
        </w:rPr>
      </w:pPr>
    </w:p>
    <w:p w14:paraId="61974FC4" w14:textId="7C4C601E" w:rsidR="004B2A68" w:rsidRPr="004B2A68" w:rsidRDefault="004B2A68" w:rsidP="00132B67">
      <w:pPr>
        <w:rPr>
          <w:b/>
          <w:bCs/>
        </w:rPr>
      </w:pPr>
      <w:r w:rsidRPr="004B2A68">
        <w:rPr>
          <w:b/>
          <w:bCs/>
        </w:rPr>
        <w:t>Backlog</w:t>
      </w:r>
    </w:p>
    <w:p w14:paraId="69C0305E" w14:textId="6301791E" w:rsidR="004B2A68" w:rsidRDefault="00FD2F2A" w:rsidP="00132B67">
      <w:r>
        <w:rPr>
          <w:rStyle w:val="af"/>
          <w:b w:val="0"/>
          <w:bCs w:val="0"/>
        </w:rPr>
        <w:t>B</w:t>
      </w:r>
      <w:r>
        <w:rPr>
          <w:rStyle w:val="af"/>
          <w:rFonts w:hint="eastAsia"/>
          <w:b w:val="0"/>
          <w:bCs w:val="0"/>
        </w:rPr>
        <w:t>acklog是</w:t>
      </w:r>
      <w:r w:rsidR="00F44A04" w:rsidRPr="00F44A04">
        <w:rPr>
          <w:rStyle w:val="af"/>
          <w:b w:val="0"/>
          <w:bCs w:val="0"/>
        </w:rPr>
        <w:t>已签约、但尚未贡献收入</w:t>
      </w:r>
      <w:r w:rsidR="00F44A04">
        <w:t>的项目——处于从签约到满产的各个阶段。</w:t>
      </w:r>
    </w:p>
    <w:p w14:paraId="68A27857" w14:textId="77777777" w:rsidR="00F92384" w:rsidRDefault="00F92384" w:rsidP="00132B67"/>
    <w:p w14:paraId="0175F28E" w14:textId="77777777" w:rsidR="00F92384" w:rsidRDefault="00F92384" w:rsidP="00F92384">
      <w:r>
        <w:t>签约 → 工程设计 → 建设施工 → 投产(Start-up) → 爬坡 → 满产贡献利润</w:t>
      </w:r>
    </w:p>
    <w:p w14:paraId="24E6D601" w14:textId="77777777" w:rsidR="00F92384" w:rsidRDefault="00F92384" w:rsidP="00F92384">
      <w:r>
        <w:t>|←————— 在Backlog里 ——————→|←—— 移出Backlog ——→|</w:t>
      </w:r>
    </w:p>
    <w:p w14:paraId="31889F07" w14:textId="46ACA27B" w:rsidR="004B2A68" w:rsidRDefault="00F92384" w:rsidP="00F92384">
      <w:r>
        <w:t xml:space="preserve">              通常2-3年</w:t>
      </w:r>
    </w:p>
    <w:p w14:paraId="60AC3504" w14:textId="5C0C185D" w:rsidR="004B2A68" w:rsidRDefault="006B08E1" w:rsidP="00132B67">
      <w:r w:rsidRPr="006B08E1">
        <w:rPr>
          <w:noProof/>
        </w:rPr>
        <w:lastRenderedPageBreak/>
        <w:drawing>
          <wp:inline distT="0" distB="0" distL="0" distR="0" wp14:anchorId="570F7EDA" wp14:editId="1DE0CA98">
            <wp:extent cx="6645910" cy="1734185"/>
            <wp:effectExtent l="0" t="0" r="0" b="5715"/>
            <wp:docPr id="85857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5035" name=""/>
                    <pic:cNvPicPr/>
                  </pic:nvPicPr>
                  <pic:blipFill>
                    <a:blip r:embed="rId10"/>
                    <a:stretch>
                      <a:fillRect/>
                    </a:stretch>
                  </pic:blipFill>
                  <pic:spPr>
                    <a:xfrm>
                      <a:off x="0" y="0"/>
                      <a:ext cx="6645910" cy="1734185"/>
                    </a:xfrm>
                    <a:prstGeom prst="rect">
                      <a:avLst/>
                    </a:prstGeom>
                  </pic:spPr>
                </pic:pic>
              </a:graphicData>
            </a:graphic>
          </wp:inline>
        </w:drawing>
      </w:r>
    </w:p>
    <w:p w14:paraId="715088B1" w14:textId="77777777" w:rsidR="00F92384" w:rsidRDefault="00F92384" w:rsidP="00132B67"/>
    <w:p w14:paraId="36E3AC00" w14:textId="07D543E3" w:rsidR="00F92384" w:rsidRPr="009E3D59" w:rsidRDefault="009E3D59" w:rsidP="00132B67">
      <w:pPr>
        <w:rPr>
          <w:b/>
          <w:bCs/>
        </w:rPr>
      </w:pPr>
      <w:r w:rsidRPr="009E3D59">
        <w:rPr>
          <w:rFonts w:hint="eastAsia"/>
          <w:b/>
          <w:bCs/>
        </w:rPr>
        <w:t>ROC</w:t>
      </w:r>
    </w:p>
    <w:p w14:paraId="5A186E99" w14:textId="4CD64439" w:rsidR="001A3C91" w:rsidRDefault="00A85A3E" w:rsidP="00F40CC3">
      <w:r>
        <w:t>DEF 14A中</w:t>
      </w:r>
      <w:r w:rsidR="00A56BFF">
        <w:rPr>
          <w:rFonts w:hint="eastAsia"/>
        </w:rPr>
        <w:t>PSU的</w:t>
      </w:r>
      <w:r w:rsidR="002009A6">
        <w:rPr>
          <w:rFonts w:hint="eastAsia"/>
        </w:rPr>
        <w:t>税后</w:t>
      </w:r>
      <w:r w:rsidR="00A56BFF">
        <w:rPr>
          <w:rFonts w:hint="eastAsia"/>
        </w:rPr>
        <w:t>ROC考核目标是：门槛23%，目标24.4%，上限25.3%。</w:t>
      </w:r>
    </w:p>
    <w:p w14:paraId="7E655701" w14:textId="4F86FE46" w:rsidR="00A85A3E" w:rsidRPr="00A85A3E" w:rsidRDefault="002009A6" w:rsidP="00F40CC3">
      <w:r w:rsidRPr="002009A6">
        <w:rPr>
          <w:noProof/>
        </w:rPr>
        <w:drawing>
          <wp:inline distT="0" distB="0" distL="0" distR="0" wp14:anchorId="08D59BD9" wp14:editId="74EF2288">
            <wp:extent cx="6645910" cy="925195"/>
            <wp:effectExtent l="0" t="0" r="0" b="1905"/>
            <wp:docPr id="630037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7586" name=""/>
                    <pic:cNvPicPr/>
                  </pic:nvPicPr>
                  <pic:blipFill>
                    <a:blip r:embed="rId11"/>
                    <a:stretch>
                      <a:fillRect/>
                    </a:stretch>
                  </pic:blipFill>
                  <pic:spPr>
                    <a:xfrm>
                      <a:off x="0" y="0"/>
                      <a:ext cx="6645910" cy="925195"/>
                    </a:xfrm>
                    <a:prstGeom prst="rect">
                      <a:avLst/>
                    </a:prstGeom>
                  </pic:spPr>
                </pic:pic>
              </a:graphicData>
            </a:graphic>
          </wp:inline>
        </w:drawing>
      </w:r>
    </w:p>
    <w:p w14:paraId="0503AF83" w14:textId="77777777" w:rsidR="00872D14" w:rsidRDefault="00872D14" w:rsidP="00872D14">
      <w:r>
        <w:rPr>
          <w:rFonts w:hint="eastAsia"/>
        </w:rPr>
        <w:t>Non-GAAP NOPAT</w:t>
      </w:r>
      <w:r>
        <w:t>加回收购</w:t>
      </w:r>
      <w:r>
        <w:rPr>
          <w:rFonts w:hint="eastAsia"/>
        </w:rPr>
        <w:t>了</w:t>
      </w:r>
      <w:r>
        <w:t>会计摊销</w:t>
      </w:r>
      <w:r>
        <w:rPr>
          <w:rFonts w:hint="eastAsia"/>
        </w:rPr>
        <w:t>。</w:t>
      </w:r>
    </w:p>
    <w:p w14:paraId="4D9EB24E" w14:textId="3F020990" w:rsidR="009E3D59" w:rsidRPr="0082516D" w:rsidRDefault="00FD7147" w:rsidP="00132B67">
      <w:pPr>
        <w:rPr>
          <w:b/>
          <w:bCs/>
        </w:rPr>
      </w:pPr>
      <w:r>
        <w:rPr>
          <w:rStyle w:val="af"/>
          <w:rFonts w:hint="eastAsia"/>
          <w:b w:val="0"/>
          <w:bCs w:val="0"/>
        </w:rPr>
        <w:t>Non-GAAP</w:t>
      </w:r>
      <w:r w:rsidR="00FA4E13">
        <w:rPr>
          <w:rStyle w:val="af"/>
          <w:rFonts w:hint="eastAsia"/>
          <w:b w:val="0"/>
          <w:bCs w:val="0"/>
        </w:rPr>
        <w:t xml:space="preserve"> Capital</w:t>
      </w:r>
      <w:r w:rsidR="0082516D" w:rsidRPr="0082516D">
        <w:rPr>
          <w:rStyle w:val="af"/>
          <w:b w:val="0"/>
          <w:bCs w:val="0"/>
        </w:rPr>
        <w:t>的</w:t>
      </w:r>
      <w:r w:rsidR="00AD295A">
        <w:rPr>
          <w:rStyle w:val="af"/>
          <w:rFonts w:hint="eastAsia"/>
          <w:b w:val="0"/>
          <w:bCs w:val="0"/>
        </w:rPr>
        <w:t>调整：</w:t>
      </w:r>
    </w:p>
    <w:p w14:paraId="52EC37A9" w14:textId="2E94F27A" w:rsidR="00EB430B" w:rsidRDefault="00AD295A" w:rsidP="00132B67">
      <w:r w:rsidRPr="00AD295A">
        <w:rPr>
          <w:noProof/>
        </w:rPr>
        <w:drawing>
          <wp:inline distT="0" distB="0" distL="0" distR="0" wp14:anchorId="2A1D304F" wp14:editId="1C973B02">
            <wp:extent cx="6645910" cy="2364740"/>
            <wp:effectExtent l="0" t="0" r="0" b="0"/>
            <wp:docPr id="437155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5482" name=""/>
                    <pic:cNvPicPr/>
                  </pic:nvPicPr>
                  <pic:blipFill>
                    <a:blip r:embed="rId12"/>
                    <a:stretch>
                      <a:fillRect/>
                    </a:stretch>
                  </pic:blipFill>
                  <pic:spPr>
                    <a:xfrm>
                      <a:off x="0" y="0"/>
                      <a:ext cx="6645910" cy="2364740"/>
                    </a:xfrm>
                    <a:prstGeom prst="rect">
                      <a:avLst/>
                    </a:prstGeom>
                  </pic:spPr>
                </pic:pic>
              </a:graphicData>
            </a:graphic>
          </wp:inline>
        </w:drawing>
      </w:r>
    </w:p>
    <w:p w14:paraId="51141CF7" w14:textId="77777777" w:rsidR="00EB430B" w:rsidRDefault="00EB430B" w:rsidP="00132B67"/>
    <w:p w14:paraId="2B42FF74" w14:textId="75E600FC" w:rsidR="00602113" w:rsidRPr="00463817" w:rsidRDefault="000211F5" w:rsidP="00132B67">
      <w:pPr>
        <w:pStyle w:val="2"/>
      </w:pPr>
      <w:r>
        <w:rPr>
          <w:rFonts w:hint="eastAsia"/>
        </w:rPr>
        <w:t>业务经营</w:t>
      </w:r>
    </w:p>
    <w:p w14:paraId="42356D57" w14:textId="0A3436A7" w:rsidR="0003763D" w:rsidRDefault="00405D6D" w:rsidP="00132B67">
      <w:r>
        <w:rPr>
          <w:rFonts w:hint="eastAsia"/>
        </w:rPr>
        <w:t>FY2025美洲收入占比44.7%，EMEA（欧中东非洲）收入占比25.2%，APAC收入占比19.6%。</w:t>
      </w:r>
    </w:p>
    <w:p w14:paraId="057997CB" w14:textId="77777777" w:rsidR="00581A42" w:rsidRDefault="00D97725" w:rsidP="00132B67">
      <w:pPr>
        <w:rPr>
          <w:rFonts w:ascii="Helvetica Neue" w:hAnsi="Helvetica Neue"/>
          <w:color w:val="333333"/>
          <w:shd w:val="clear" w:color="auto" w:fill="FFFFFF"/>
        </w:rPr>
      </w:pPr>
      <w:r>
        <w:rPr>
          <w:rFonts w:ascii="Helvetica Neue" w:hAnsi="Helvetica Neue"/>
          <w:color w:val="333333"/>
          <w:shd w:val="clear" w:color="auto" w:fill="FFFFFF"/>
        </w:rPr>
        <w:t>美洲的增长主要不是依赖销量快速放大，而是来自合同价格、成本转嫁和部分小型收并购的累积，因此增长节奏较稳定。</w:t>
      </w:r>
      <w:r w:rsidR="00581A42">
        <w:rPr>
          <w:rFonts w:ascii="Helvetica Neue" w:hAnsi="Helvetica Neue"/>
          <w:color w:val="333333"/>
          <w:shd w:val="clear" w:color="auto" w:fill="FFFFFF"/>
        </w:rPr>
        <w:t>EMEA</w:t>
      </w:r>
      <w:r w:rsidR="00581A42">
        <w:rPr>
          <w:rFonts w:ascii="Helvetica Neue" w:hAnsi="Helvetica Neue"/>
          <w:color w:val="333333"/>
          <w:shd w:val="clear" w:color="auto" w:fill="FFFFFF"/>
        </w:rPr>
        <w:t>在</w:t>
      </w:r>
      <w:r w:rsidR="00581A42">
        <w:rPr>
          <w:rFonts w:ascii="Helvetica Neue" w:hAnsi="Helvetica Neue"/>
          <w:color w:val="333333"/>
          <w:shd w:val="clear" w:color="auto" w:fill="FFFFFF"/>
        </w:rPr>
        <w:t>FY2024</w:t>
      </w:r>
      <w:r w:rsidR="00581A42">
        <w:rPr>
          <w:rFonts w:ascii="Helvetica Neue" w:hAnsi="Helvetica Neue"/>
          <w:color w:val="333333"/>
          <w:shd w:val="clear" w:color="auto" w:fill="FFFFFF"/>
        </w:rPr>
        <w:t>因汇率和成本转嫁下降出现负增长</w:t>
      </w:r>
      <w:r w:rsidR="00581A42">
        <w:rPr>
          <w:rFonts w:ascii="Helvetica Neue" w:hAnsi="Helvetica Neue" w:hint="eastAsia"/>
          <w:color w:val="333333"/>
          <w:shd w:val="clear" w:color="auto" w:fill="FFFFFF"/>
        </w:rPr>
        <w:t>。</w:t>
      </w:r>
      <w:r w:rsidR="00581A42">
        <w:rPr>
          <w:rFonts w:ascii="Helvetica Neue" w:hAnsi="Helvetica Neue"/>
          <w:color w:val="333333"/>
          <w:shd w:val="clear" w:color="auto" w:fill="FFFFFF"/>
        </w:rPr>
        <w:t>APAC</w:t>
      </w:r>
      <w:r w:rsidR="00581A42">
        <w:rPr>
          <w:rFonts w:ascii="Helvetica Neue" w:hAnsi="Helvetica Neue"/>
          <w:color w:val="333333"/>
          <w:shd w:val="clear" w:color="auto" w:fill="FFFFFF"/>
        </w:rPr>
        <w:t>增速逐年收敛，显示该区域在项目投产后缺乏持续的量价弹性。</w:t>
      </w:r>
    </w:p>
    <w:p w14:paraId="5BB9472C" w14:textId="77777777" w:rsidR="00F03B23" w:rsidRDefault="00581A42" w:rsidP="00132B67">
      <w:pPr>
        <w:rPr>
          <w:rFonts w:ascii="Helvetica Neue" w:hAnsi="Helvetica Neue"/>
          <w:color w:val="333333"/>
          <w:shd w:val="clear" w:color="auto" w:fill="FFFFFF"/>
        </w:rPr>
      </w:pPr>
      <w:r>
        <w:rPr>
          <w:rFonts w:ascii="Helvetica Neue" w:hAnsi="Helvetica Neue"/>
          <w:color w:val="333333"/>
          <w:shd w:val="clear" w:color="auto" w:fill="FFFFFF"/>
        </w:rPr>
        <w:t>工程业务以项目合同方式确认设备销售和项目收入</w:t>
      </w:r>
      <w:r>
        <w:rPr>
          <w:rFonts w:ascii="Helvetica Neue" w:hAnsi="Helvetica Neue" w:hint="eastAsia"/>
          <w:color w:val="333333"/>
          <w:shd w:val="clear" w:color="auto" w:fill="FFFFFF"/>
        </w:rPr>
        <w:t>，</w:t>
      </w:r>
      <w:r>
        <w:rPr>
          <w:rFonts w:ascii="Helvetica Neue" w:hAnsi="Helvetica Neue"/>
          <w:color w:val="333333"/>
          <w:shd w:val="clear" w:color="auto" w:fill="FFFFFF"/>
        </w:rPr>
        <w:t>波动最大。</w:t>
      </w:r>
      <w:r w:rsidR="000B5D63">
        <w:rPr>
          <w:rFonts w:ascii="Helvetica Neue" w:hAnsi="Helvetica Neue"/>
          <w:color w:val="333333"/>
          <w:shd w:val="clear" w:color="auto" w:fill="FFFFFF"/>
        </w:rPr>
        <w:t>FY2023</w:t>
      </w:r>
      <w:r w:rsidR="000B5D63">
        <w:rPr>
          <w:rFonts w:ascii="Helvetica Neue" w:hAnsi="Helvetica Neue"/>
          <w:color w:val="333333"/>
          <w:shd w:val="clear" w:color="auto" w:fill="FFFFFF"/>
        </w:rPr>
        <w:t>工程收入下降</w:t>
      </w:r>
      <w:r w:rsidR="000B5D63">
        <w:rPr>
          <w:rFonts w:ascii="Helvetica Neue" w:hAnsi="Helvetica Neue"/>
          <w:color w:val="333333"/>
          <w:shd w:val="clear" w:color="auto" w:fill="FFFFFF"/>
        </w:rPr>
        <w:t>21.8%</w:t>
      </w:r>
      <w:r w:rsidR="000B5D63">
        <w:rPr>
          <w:rFonts w:ascii="Helvetica Neue" w:hAnsi="Helvetica Neue"/>
          <w:color w:val="333333"/>
          <w:shd w:val="clear" w:color="auto" w:fill="FFFFFF"/>
        </w:rPr>
        <w:t>，主要与俄罗斯相关项目退出和风控有关；</w:t>
      </w:r>
      <w:r w:rsidR="000B5D63">
        <w:rPr>
          <w:rFonts w:ascii="Helvetica Neue" w:hAnsi="Helvetica Neue"/>
          <w:color w:val="333333"/>
          <w:shd w:val="clear" w:color="auto" w:fill="FFFFFF"/>
        </w:rPr>
        <w:t xml:space="preserve">FY2024 </w:t>
      </w:r>
      <w:r w:rsidR="000B5D63">
        <w:rPr>
          <w:rFonts w:ascii="Helvetica Neue" w:hAnsi="Helvetica Neue"/>
          <w:color w:val="333333"/>
          <w:shd w:val="clear" w:color="auto" w:fill="FFFFFF"/>
        </w:rPr>
        <w:t>因项目节奏反弹</w:t>
      </w:r>
      <w:r w:rsidR="00677B30">
        <w:rPr>
          <w:rFonts w:ascii="Helvetica Neue" w:hAnsi="Helvetica Neue" w:hint="eastAsia"/>
          <w:color w:val="333333"/>
          <w:shd w:val="clear" w:color="auto" w:fill="FFFFFF"/>
        </w:rPr>
        <w:t>7</w:t>
      </w:r>
      <w:r w:rsidR="000B5D63">
        <w:rPr>
          <w:rFonts w:ascii="Helvetica Neue" w:hAnsi="Helvetica Neue"/>
          <w:color w:val="333333"/>
          <w:shd w:val="clear" w:color="auto" w:fill="FFFFFF"/>
        </w:rPr>
        <w:t>.5%</w:t>
      </w:r>
      <w:r w:rsidR="000B5D63">
        <w:rPr>
          <w:rFonts w:ascii="Helvetica Neue" w:hAnsi="Helvetica Neue"/>
          <w:color w:val="333333"/>
          <w:shd w:val="clear" w:color="auto" w:fill="FFFFFF"/>
        </w:rPr>
        <w:t>，</w:t>
      </w:r>
      <w:r w:rsidR="000B5D63">
        <w:rPr>
          <w:rFonts w:ascii="Helvetica Neue" w:hAnsi="Helvetica Neue"/>
          <w:color w:val="333333"/>
          <w:shd w:val="clear" w:color="auto" w:fill="FFFFFF"/>
        </w:rPr>
        <w:t>FY2025</w:t>
      </w:r>
      <w:r w:rsidR="000B5D63">
        <w:rPr>
          <w:rFonts w:ascii="Helvetica Neue" w:hAnsi="Helvetica Neue"/>
          <w:color w:val="333333"/>
          <w:shd w:val="clear" w:color="auto" w:fill="FFFFFF"/>
        </w:rPr>
        <w:t>又因项目时间错配回落</w:t>
      </w:r>
      <w:r w:rsidR="000B5D63">
        <w:rPr>
          <w:rFonts w:ascii="Helvetica Neue" w:hAnsi="Helvetica Neue"/>
          <w:color w:val="333333"/>
          <w:shd w:val="clear" w:color="auto" w:fill="FFFFFF"/>
        </w:rPr>
        <w:t xml:space="preserve"> 3.1%</w:t>
      </w:r>
      <w:r w:rsidR="000B5D63">
        <w:rPr>
          <w:rFonts w:ascii="Helvetica Neue" w:hAnsi="Helvetica Neue"/>
          <w:color w:val="333333"/>
          <w:shd w:val="clear" w:color="auto" w:fill="FFFFFF"/>
        </w:rPr>
        <w:t>。</w:t>
      </w:r>
    </w:p>
    <w:p w14:paraId="6DEC3F85" w14:textId="41549F5B" w:rsidR="00F03B23" w:rsidRPr="004E491B" w:rsidRDefault="0017695C" w:rsidP="00132B67">
      <w:r>
        <w:rPr>
          <w:rFonts w:ascii="Helvetica Neue" w:hAnsi="Helvetica Neue"/>
          <w:color w:val="333333"/>
          <w:shd w:val="clear" w:color="auto" w:fill="FFFFFF"/>
        </w:rPr>
        <w:t>公司当前收入增长并不依赖销量扩张，而是依靠合同价格、汇率和收并购的边际贡献。</w:t>
      </w:r>
      <w:r w:rsidR="00F03B23">
        <w:rPr>
          <w:rFonts w:ascii="Helvetica Neue" w:hAnsi="Helvetica Neue"/>
          <w:color w:val="333333"/>
          <w:shd w:val="clear" w:color="auto" w:fill="FFFFFF"/>
        </w:rPr>
        <w:t>，销量在</w:t>
      </w:r>
      <w:r w:rsidR="00F03B23">
        <w:rPr>
          <w:rFonts w:ascii="Helvetica Neue" w:hAnsi="Helvetica Neue"/>
          <w:color w:val="333333"/>
          <w:shd w:val="clear" w:color="auto" w:fill="FFFFFF"/>
        </w:rPr>
        <w:t xml:space="preserve"> FY2024 </w:t>
      </w:r>
      <w:r w:rsidR="00F03B23">
        <w:rPr>
          <w:rFonts w:ascii="Helvetica Neue" w:hAnsi="Helvetica Neue"/>
          <w:color w:val="333333"/>
          <w:shd w:val="clear" w:color="auto" w:fill="FFFFFF"/>
        </w:rPr>
        <w:t>和</w:t>
      </w:r>
      <w:r w:rsidR="00F03B23">
        <w:rPr>
          <w:rFonts w:ascii="Helvetica Neue" w:hAnsi="Helvetica Neue"/>
          <w:color w:val="333333"/>
          <w:shd w:val="clear" w:color="auto" w:fill="FFFFFF"/>
        </w:rPr>
        <w:t xml:space="preserve"> FY2025 </w:t>
      </w:r>
      <w:r w:rsidR="00F03B23">
        <w:rPr>
          <w:rFonts w:ascii="Helvetica Neue" w:hAnsi="Helvetica Neue"/>
          <w:color w:val="333333"/>
          <w:shd w:val="clear" w:color="auto" w:fill="FFFFFF"/>
        </w:rPr>
        <w:t>均为零贡献</w:t>
      </w:r>
      <w:r w:rsidR="00346481">
        <w:rPr>
          <w:rFonts w:ascii="Helvetica Neue" w:hAnsi="Helvetica Neue" w:hint="eastAsia"/>
          <w:color w:val="333333"/>
          <w:shd w:val="clear" w:color="auto" w:fill="FFFFFF"/>
        </w:rPr>
        <w:t>，</w:t>
      </w:r>
      <w:r w:rsidR="00346481">
        <w:rPr>
          <w:rFonts w:ascii="Helvetica Neue" w:hAnsi="Helvetica Neue"/>
          <w:color w:val="333333"/>
          <w:shd w:val="clear" w:color="auto" w:fill="FFFFFF"/>
        </w:rPr>
        <w:t>收入增长几乎全部来自价格实现和少量收并购</w:t>
      </w:r>
      <w:r w:rsidR="00F03B23">
        <w:rPr>
          <w:rFonts w:ascii="Helvetica Neue" w:hAnsi="Helvetica Neue"/>
          <w:color w:val="333333"/>
          <w:shd w:val="clear" w:color="auto" w:fill="FFFFFF"/>
        </w:rPr>
        <w:t>。</w:t>
      </w:r>
      <w:r w:rsidR="00E8684F">
        <w:rPr>
          <w:rFonts w:ascii="Helvetica Neue" w:hAnsi="Helvetica Neue"/>
          <w:color w:val="333333"/>
          <w:shd w:val="clear" w:color="auto" w:fill="FFFFFF"/>
        </w:rPr>
        <w:t>价格</w:t>
      </w:r>
      <w:r w:rsidR="00E8684F">
        <w:rPr>
          <w:rFonts w:ascii="Helvetica Neue" w:hAnsi="Helvetica Neue"/>
          <w:color w:val="333333"/>
          <w:shd w:val="clear" w:color="auto" w:fill="FFFFFF"/>
        </w:rPr>
        <w:t>/</w:t>
      </w:r>
      <w:r w:rsidR="00E8684F">
        <w:rPr>
          <w:rFonts w:ascii="Helvetica Neue" w:hAnsi="Helvetica Neue"/>
          <w:color w:val="333333"/>
          <w:shd w:val="clear" w:color="auto" w:fill="FFFFFF"/>
        </w:rPr>
        <w:t>组合的正贡献集中在美洲和</w:t>
      </w:r>
      <w:r w:rsidR="00E8684F">
        <w:rPr>
          <w:rFonts w:ascii="Helvetica Neue" w:hAnsi="Helvetica Neue"/>
          <w:color w:val="333333"/>
          <w:shd w:val="clear" w:color="auto" w:fill="FFFFFF"/>
        </w:rPr>
        <w:t xml:space="preserve"> EMEA</w:t>
      </w:r>
      <w:r w:rsidR="00E8684F">
        <w:rPr>
          <w:rFonts w:ascii="Helvetica Neue" w:hAnsi="Helvetica Neue"/>
          <w:color w:val="333333"/>
          <w:shd w:val="clear" w:color="auto" w:fill="FFFFFF"/>
        </w:rPr>
        <w:t>，</w:t>
      </w:r>
      <w:r w:rsidR="00E8684F">
        <w:rPr>
          <w:rFonts w:ascii="Helvetica Neue" w:hAnsi="Helvetica Neue" w:hint="eastAsia"/>
          <w:color w:val="333333"/>
          <w:shd w:val="clear" w:color="auto" w:fill="FFFFFF"/>
        </w:rPr>
        <w:t>而</w:t>
      </w:r>
      <w:r w:rsidR="00E8684F">
        <w:rPr>
          <w:rFonts w:ascii="Helvetica Neue" w:hAnsi="Helvetica Neue"/>
          <w:color w:val="333333"/>
          <w:shd w:val="clear" w:color="auto" w:fill="FFFFFF"/>
        </w:rPr>
        <w:t xml:space="preserve">APAC </w:t>
      </w:r>
      <w:r w:rsidR="00E8684F">
        <w:rPr>
          <w:rFonts w:ascii="Helvetica Neue" w:hAnsi="Helvetica Neue"/>
          <w:color w:val="333333"/>
          <w:shd w:val="clear" w:color="auto" w:fill="FFFFFF"/>
        </w:rPr>
        <w:t>的价格贡献为零</w:t>
      </w:r>
      <w:r w:rsidR="00E8684F">
        <w:rPr>
          <w:rFonts w:ascii="Helvetica Neue" w:hAnsi="Helvetica Neue" w:hint="eastAsia"/>
          <w:color w:val="333333"/>
          <w:shd w:val="clear" w:color="auto" w:fill="FFFFFF"/>
        </w:rPr>
        <w:t>。</w:t>
      </w:r>
    </w:p>
    <w:p w14:paraId="1DAB18F1" w14:textId="510C30CF" w:rsidR="00602113" w:rsidRDefault="004D0DFC" w:rsidP="00132B67">
      <w:r w:rsidRPr="004D0DFC">
        <w:rPr>
          <w:noProof/>
        </w:rPr>
        <w:lastRenderedPageBreak/>
        <w:drawing>
          <wp:inline distT="0" distB="0" distL="0" distR="0" wp14:anchorId="085EEF64" wp14:editId="57204D47">
            <wp:extent cx="5926949" cy="2412459"/>
            <wp:effectExtent l="0" t="0" r="4445" b="635"/>
            <wp:docPr id="67136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9731" name=""/>
                    <pic:cNvPicPr/>
                  </pic:nvPicPr>
                  <pic:blipFill>
                    <a:blip r:embed="rId13"/>
                    <a:stretch>
                      <a:fillRect/>
                    </a:stretch>
                  </pic:blipFill>
                  <pic:spPr>
                    <a:xfrm>
                      <a:off x="0" y="0"/>
                      <a:ext cx="5982213" cy="2434953"/>
                    </a:xfrm>
                    <a:prstGeom prst="rect">
                      <a:avLst/>
                    </a:prstGeom>
                  </pic:spPr>
                </pic:pic>
              </a:graphicData>
            </a:graphic>
          </wp:inline>
        </w:drawing>
      </w:r>
    </w:p>
    <w:p w14:paraId="7AB5EF7C" w14:textId="1A2D725D" w:rsidR="004E491B" w:rsidRDefault="0003763D" w:rsidP="00132B67">
      <w:r w:rsidRPr="0003763D">
        <w:rPr>
          <w:noProof/>
        </w:rPr>
        <w:drawing>
          <wp:inline distT="0" distB="0" distL="0" distR="0" wp14:anchorId="076AB365" wp14:editId="2E314E5F">
            <wp:extent cx="3491445" cy="1643975"/>
            <wp:effectExtent l="0" t="0" r="1270" b="0"/>
            <wp:docPr id="144464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9725" name=""/>
                    <pic:cNvPicPr/>
                  </pic:nvPicPr>
                  <pic:blipFill>
                    <a:blip r:embed="rId14"/>
                    <a:stretch>
                      <a:fillRect/>
                    </a:stretch>
                  </pic:blipFill>
                  <pic:spPr>
                    <a:xfrm>
                      <a:off x="0" y="0"/>
                      <a:ext cx="3580897" cy="1686094"/>
                    </a:xfrm>
                    <a:prstGeom prst="rect">
                      <a:avLst/>
                    </a:prstGeom>
                  </pic:spPr>
                </pic:pic>
              </a:graphicData>
            </a:graphic>
          </wp:inline>
        </w:drawing>
      </w:r>
      <w:r w:rsidR="00F60CAA" w:rsidRPr="00F60CAA">
        <w:rPr>
          <w:noProof/>
        </w:rPr>
        <w:t xml:space="preserve"> </w:t>
      </w:r>
      <w:r w:rsidR="00F60CAA" w:rsidRPr="00F60CAA">
        <w:rPr>
          <w:noProof/>
        </w:rPr>
        <w:drawing>
          <wp:inline distT="0" distB="0" distL="0" distR="0" wp14:anchorId="2B9910D6" wp14:editId="48CE6F3A">
            <wp:extent cx="3036128" cy="1478321"/>
            <wp:effectExtent l="0" t="0" r="0" b="0"/>
            <wp:docPr id="19667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9506" name=""/>
                    <pic:cNvPicPr/>
                  </pic:nvPicPr>
                  <pic:blipFill>
                    <a:blip r:embed="rId15"/>
                    <a:stretch>
                      <a:fillRect/>
                    </a:stretch>
                  </pic:blipFill>
                  <pic:spPr>
                    <a:xfrm>
                      <a:off x="0" y="0"/>
                      <a:ext cx="3090390" cy="1504742"/>
                    </a:xfrm>
                    <a:prstGeom prst="rect">
                      <a:avLst/>
                    </a:prstGeom>
                  </pic:spPr>
                </pic:pic>
              </a:graphicData>
            </a:graphic>
          </wp:inline>
        </w:drawing>
      </w:r>
      <w:r w:rsidR="00E8684F" w:rsidRPr="00E8684F">
        <w:rPr>
          <w:noProof/>
        </w:rPr>
        <w:t xml:space="preserve"> </w:t>
      </w:r>
      <w:r w:rsidR="00E8684F" w:rsidRPr="00E8684F">
        <w:rPr>
          <w:noProof/>
        </w:rPr>
        <w:drawing>
          <wp:inline distT="0" distB="0" distL="0" distR="0" wp14:anchorId="3846D380" wp14:editId="042D41A8">
            <wp:extent cx="6645910" cy="1991360"/>
            <wp:effectExtent l="0" t="0" r="0" b="2540"/>
            <wp:docPr id="146140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8459" name=""/>
                    <pic:cNvPicPr/>
                  </pic:nvPicPr>
                  <pic:blipFill>
                    <a:blip r:embed="rId16"/>
                    <a:stretch>
                      <a:fillRect/>
                    </a:stretch>
                  </pic:blipFill>
                  <pic:spPr>
                    <a:xfrm>
                      <a:off x="0" y="0"/>
                      <a:ext cx="6645910" cy="1991360"/>
                    </a:xfrm>
                    <a:prstGeom prst="rect">
                      <a:avLst/>
                    </a:prstGeom>
                  </pic:spPr>
                </pic:pic>
              </a:graphicData>
            </a:graphic>
          </wp:inline>
        </w:drawing>
      </w:r>
    </w:p>
    <w:p w14:paraId="33946851" w14:textId="6A7107B0" w:rsidR="002F3057" w:rsidRDefault="002F3057" w:rsidP="00132B67">
      <w:r>
        <w:rPr>
          <w:rFonts w:ascii="Helvetica Neue" w:hAnsi="Helvetica Neue" w:hint="eastAsia"/>
          <w:color w:val="333333"/>
          <w:shd w:val="clear" w:color="auto" w:fill="FFFFFF"/>
        </w:rPr>
        <w:t>近</w:t>
      </w:r>
      <w:r>
        <w:rPr>
          <w:rFonts w:ascii="Helvetica Neue" w:hAnsi="Helvetica Neue" w:hint="eastAsia"/>
          <w:color w:val="333333"/>
          <w:shd w:val="clear" w:color="auto" w:fill="FFFFFF"/>
        </w:rPr>
        <w:t>5</w:t>
      </w:r>
      <w:r>
        <w:rPr>
          <w:rFonts w:ascii="Helvetica Neue" w:hAnsi="Helvetica Neue" w:hint="eastAsia"/>
          <w:color w:val="333333"/>
          <w:shd w:val="clear" w:color="auto" w:fill="FFFFFF"/>
        </w:rPr>
        <w:t>年，</w:t>
      </w:r>
      <w:r>
        <w:rPr>
          <w:rFonts w:ascii="Helvetica Neue" w:hAnsi="Helvetica Neue"/>
          <w:color w:val="333333"/>
          <w:shd w:val="clear" w:color="auto" w:fill="FFFFFF"/>
        </w:rPr>
        <w:t>美洲和</w:t>
      </w:r>
      <w:r>
        <w:rPr>
          <w:rFonts w:ascii="Helvetica Neue" w:hAnsi="Helvetica Neue"/>
          <w:color w:val="333333"/>
          <w:shd w:val="clear" w:color="auto" w:fill="FFFFFF"/>
        </w:rPr>
        <w:t>EMEA</w:t>
      </w:r>
      <w:r>
        <w:rPr>
          <w:rFonts w:ascii="Helvetica Neue" w:hAnsi="Helvetica Neue"/>
          <w:color w:val="333333"/>
          <w:shd w:val="clear" w:color="auto" w:fill="FFFFFF"/>
        </w:rPr>
        <w:t>贡献了绝大部分</w:t>
      </w:r>
      <w:r w:rsidR="00544BB0">
        <w:rPr>
          <w:rFonts w:ascii="Helvetica Neue" w:hAnsi="Helvetica Neue" w:hint="eastAsia"/>
          <w:color w:val="333333"/>
          <w:shd w:val="clear" w:color="auto" w:fill="FFFFFF"/>
        </w:rPr>
        <w:t>经营利润</w:t>
      </w:r>
      <w:r>
        <w:rPr>
          <w:rFonts w:ascii="Helvetica Neue" w:hAnsi="Helvetica Neue"/>
          <w:color w:val="333333"/>
          <w:shd w:val="clear" w:color="auto" w:fill="FFFFFF"/>
        </w:rPr>
        <w:t>增量</w:t>
      </w:r>
      <w:r w:rsidR="00E8309B">
        <w:rPr>
          <w:rFonts w:ascii="Helvetica Neue" w:hAnsi="Helvetica Neue" w:hint="eastAsia"/>
          <w:color w:val="333333"/>
          <w:shd w:val="clear" w:color="auto" w:fill="FFFFFF"/>
        </w:rPr>
        <w:t>。</w:t>
      </w:r>
    </w:p>
    <w:p w14:paraId="1D4A5B6B" w14:textId="233B156E" w:rsidR="004E491B" w:rsidRDefault="00057312" w:rsidP="00132B67">
      <w:r w:rsidRPr="00057312">
        <w:rPr>
          <w:noProof/>
        </w:rPr>
        <w:drawing>
          <wp:inline distT="0" distB="0" distL="0" distR="0" wp14:anchorId="2CB1D77B" wp14:editId="660EB416">
            <wp:extent cx="5926455" cy="2317127"/>
            <wp:effectExtent l="0" t="0" r="4445" b="0"/>
            <wp:docPr id="509536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6171" name=""/>
                    <pic:cNvPicPr/>
                  </pic:nvPicPr>
                  <pic:blipFill>
                    <a:blip r:embed="rId17"/>
                    <a:stretch>
                      <a:fillRect/>
                    </a:stretch>
                  </pic:blipFill>
                  <pic:spPr>
                    <a:xfrm>
                      <a:off x="0" y="0"/>
                      <a:ext cx="6035461" cy="2359746"/>
                    </a:xfrm>
                    <a:prstGeom prst="rect">
                      <a:avLst/>
                    </a:prstGeom>
                  </pic:spPr>
                </pic:pic>
              </a:graphicData>
            </a:graphic>
          </wp:inline>
        </w:drawing>
      </w:r>
    </w:p>
    <w:p w14:paraId="0A790492" w14:textId="772B6127" w:rsidR="00E8309B" w:rsidRDefault="00E8309B" w:rsidP="00132B67">
      <w:r w:rsidRPr="00E8309B">
        <w:rPr>
          <w:noProof/>
        </w:rPr>
        <w:lastRenderedPageBreak/>
        <w:drawing>
          <wp:inline distT="0" distB="0" distL="0" distR="0" wp14:anchorId="563B0C61" wp14:editId="03782C8D">
            <wp:extent cx="5856051" cy="1918073"/>
            <wp:effectExtent l="0" t="0" r="0" b="0"/>
            <wp:docPr id="6174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621" name=""/>
                    <pic:cNvPicPr/>
                  </pic:nvPicPr>
                  <pic:blipFill>
                    <a:blip r:embed="rId18"/>
                    <a:stretch>
                      <a:fillRect/>
                    </a:stretch>
                  </pic:blipFill>
                  <pic:spPr>
                    <a:xfrm>
                      <a:off x="0" y="0"/>
                      <a:ext cx="5914831" cy="1937326"/>
                    </a:xfrm>
                    <a:prstGeom prst="rect">
                      <a:avLst/>
                    </a:prstGeom>
                  </pic:spPr>
                </pic:pic>
              </a:graphicData>
            </a:graphic>
          </wp:inline>
        </w:drawing>
      </w:r>
    </w:p>
    <w:p w14:paraId="0455EC3D" w14:textId="7A2C8DBD" w:rsidR="004E491B" w:rsidRDefault="00057312" w:rsidP="00132B67">
      <w:r w:rsidRPr="00057312">
        <w:rPr>
          <w:noProof/>
        </w:rPr>
        <w:drawing>
          <wp:inline distT="0" distB="0" distL="0" distR="0" wp14:anchorId="1A469621" wp14:editId="02E4F9CD">
            <wp:extent cx="5758774" cy="2318146"/>
            <wp:effectExtent l="0" t="0" r="0" b="6350"/>
            <wp:docPr id="1032368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8408" name=""/>
                    <pic:cNvPicPr/>
                  </pic:nvPicPr>
                  <pic:blipFill>
                    <a:blip r:embed="rId19"/>
                    <a:stretch>
                      <a:fillRect/>
                    </a:stretch>
                  </pic:blipFill>
                  <pic:spPr>
                    <a:xfrm>
                      <a:off x="0" y="0"/>
                      <a:ext cx="5804022" cy="2336360"/>
                    </a:xfrm>
                    <a:prstGeom prst="rect">
                      <a:avLst/>
                    </a:prstGeom>
                  </pic:spPr>
                </pic:pic>
              </a:graphicData>
            </a:graphic>
          </wp:inline>
        </w:drawing>
      </w:r>
    </w:p>
    <w:p w14:paraId="19439650" w14:textId="35305FEA" w:rsidR="004E491B" w:rsidRDefault="00784F16" w:rsidP="00132B67">
      <w:pPr>
        <w:rPr>
          <w:rFonts w:ascii="Helvetica Neue" w:hAnsi="Helvetica Neue"/>
          <w:color w:val="333333"/>
          <w:shd w:val="clear" w:color="auto" w:fill="FFFFFF"/>
        </w:rPr>
      </w:pPr>
      <w:r>
        <w:rPr>
          <w:rFonts w:ascii="Helvetica Neue" w:hAnsi="Helvetica Neue" w:hint="eastAsia"/>
          <w:color w:val="333333"/>
          <w:shd w:val="clear" w:color="auto" w:fill="FFFFFF"/>
        </w:rPr>
        <w:t>从</w:t>
      </w:r>
      <w:r w:rsidR="00CC4DE4">
        <w:rPr>
          <w:rFonts w:ascii="Helvetica Neue" w:hAnsi="Helvetica Neue"/>
          <w:color w:val="333333"/>
          <w:shd w:val="clear" w:color="auto" w:fill="FFFFFF"/>
        </w:rPr>
        <w:t>三大地理分部</w:t>
      </w:r>
      <w:r>
        <w:rPr>
          <w:rFonts w:ascii="Helvetica Neue" w:hAnsi="Helvetica Neue" w:hint="eastAsia"/>
          <w:color w:val="333333"/>
          <w:shd w:val="clear" w:color="auto" w:fill="FFFFFF"/>
        </w:rPr>
        <w:t>利润率来看，</w:t>
      </w:r>
      <w:r>
        <w:rPr>
          <w:rFonts w:ascii="Helvetica Neue" w:hAnsi="Helvetica Neue"/>
          <w:color w:val="333333"/>
          <w:shd w:val="clear" w:color="auto" w:fill="FFFFFF"/>
        </w:rPr>
        <w:t>收入增长放缓并未削弱分部盈利能力</w:t>
      </w:r>
      <w:r w:rsidR="00670F72">
        <w:rPr>
          <w:rFonts w:ascii="Helvetica Neue" w:hAnsi="Helvetica Neue" w:hint="eastAsia"/>
          <w:color w:val="333333"/>
          <w:shd w:val="clear" w:color="auto" w:fill="FFFFFF"/>
        </w:rPr>
        <w:t>。</w:t>
      </w:r>
      <w:r w:rsidR="00670F72">
        <w:rPr>
          <w:rFonts w:ascii="Helvetica Neue" w:hAnsi="Helvetica Neue"/>
          <w:color w:val="333333"/>
          <w:shd w:val="clear" w:color="auto" w:fill="FFFFFF"/>
        </w:rPr>
        <w:t>这种利润率扩张与公司披露的价格、生产效率和成本转嫁机制一致，但也需要关注汇率和一次性结算收益</w:t>
      </w:r>
      <w:r w:rsidR="00DF0A5B">
        <w:rPr>
          <w:rFonts w:ascii="Helvetica Neue" w:hAnsi="Helvetica Neue" w:hint="eastAsia"/>
          <w:color w:val="333333"/>
          <w:shd w:val="clear" w:color="auto" w:fill="FFFFFF"/>
        </w:rPr>
        <w:t>影响</w:t>
      </w:r>
      <w:r w:rsidR="00670F72">
        <w:rPr>
          <w:rFonts w:ascii="Helvetica Neue" w:hAnsi="Helvetica Neue"/>
          <w:color w:val="333333"/>
          <w:shd w:val="clear" w:color="auto" w:fill="FFFFFF"/>
        </w:rPr>
        <w:t>。</w:t>
      </w:r>
    </w:p>
    <w:p w14:paraId="34A573F9" w14:textId="77777777" w:rsidR="00533952" w:rsidRDefault="00533952" w:rsidP="00132B67"/>
    <w:p w14:paraId="5AE61610" w14:textId="27C63C35" w:rsidR="000B560D" w:rsidRDefault="006E2C28" w:rsidP="00132B67">
      <w:r w:rsidRPr="006E2C28">
        <w:rPr>
          <w:noProof/>
        </w:rPr>
        <w:drawing>
          <wp:inline distT="0" distB="0" distL="0" distR="0" wp14:anchorId="7FFEEDA8" wp14:editId="6452F434">
            <wp:extent cx="5398851" cy="1902958"/>
            <wp:effectExtent l="0" t="0" r="0" b="2540"/>
            <wp:docPr id="83174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42571" name=""/>
                    <pic:cNvPicPr/>
                  </pic:nvPicPr>
                  <pic:blipFill>
                    <a:blip r:embed="rId20"/>
                    <a:stretch>
                      <a:fillRect/>
                    </a:stretch>
                  </pic:blipFill>
                  <pic:spPr>
                    <a:xfrm>
                      <a:off x="0" y="0"/>
                      <a:ext cx="5450684" cy="1921228"/>
                    </a:xfrm>
                    <a:prstGeom prst="rect">
                      <a:avLst/>
                    </a:prstGeom>
                  </pic:spPr>
                </pic:pic>
              </a:graphicData>
            </a:graphic>
          </wp:inline>
        </w:drawing>
      </w:r>
    </w:p>
    <w:p w14:paraId="3594C7B1" w14:textId="12F4FCD3" w:rsidR="00440ABE" w:rsidRDefault="00127AC6" w:rsidP="00132B67">
      <w:r w:rsidRPr="00127AC6">
        <w:rPr>
          <w:noProof/>
        </w:rPr>
        <w:lastRenderedPageBreak/>
        <w:drawing>
          <wp:inline distT="0" distB="0" distL="0" distR="0" wp14:anchorId="5B93F488" wp14:editId="03C11CD1">
            <wp:extent cx="4163438" cy="3446498"/>
            <wp:effectExtent l="0" t="0" r="2540" b="0"/>
            <wp:docPr id="94544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4160" name=""/>
                    <pic:cNvPicPr/>
                  </pic:nvPicPr>
                  <pic:blipFill>
                    <a:blip r:embed="rId21"/>
                    <a:stretch>
                      <a:fillRect/>
                    </a:stretch>
                  </pic:blipFill>
                  <pic:spPr>
                    <a:xfrm>
                      <a:off x="0" y="0"/>
                      <a:ext cx="4191589" cy="3469801"/>
                    </a:xfrm>
                    <a:prstGeom prst="rect">
                      <a:avLst/>
                    </a:prstGeom>
                  </pic:spPr>
                </pic:pic>
              </a:graphicData>
            </a:graphic>
          </wp:inline>
        </w:drawing>
      </w:r>
    </w:p>
    <w:p w14:paraId="645A092A" w14:textId="77777777" w:rsidR="00440ABE" w:rsidRDefault="00440ABE" w:rsidP="00132B67"/>
    <w:p w14:paraId="1EB32854" w14:textId="36273944" w:rsidR="00BC67A2" w:rsidRPr="00D74CAC" w:rsidRDefault="00D74CAC" w:rsidP="00132B67">
      <w:pPr>
        <w:rPr>
          <w:b/>
          <w:bCs/>
        </w:rPr>
      </w:pPr>
      <w:r w:rsidRPr="00D74CAC">
        <w:rPr>
          <w:rFonts w:hint="eastAsia"/>
          <w:b/>
          <w:bCs/>
        </w:rPr>
        <w:t>资本配置</w:t>
      </w:r>
    </w:p>
    <w:p w14:paraId="719DF655" w14:textId="22366EB7" w:rsidR="00FD3A2D" w:rsidRDefault="00FD3A2D" w:rsidP="00132B67">
      <w:r>
        <w:rPr>
          <w:rFonts w:ascii="Helvetica Neue" w:hAnsi="Helvetica Neue" w:hint="eastAsia"/>
          <w:color w:val="333333"/>
          <w:shd w:val="clear" w:color="auto" w:fill="FFFFFF"/>
        </w:rPr>
        <w:t>股东回报与</w:t>
      </w:r>
      <w:r>
        <w:rPr>
          <w:rFonts w:ascii="Helvetica Neue" w:hAnsi="Helvetica Neue" w:hint="eastAsia"/>
          <w:color w:val="333333"/>
          <w:shd w:val="clear" w:color="auto" w:fill="FFFFFF"/>
        </w:rPr>
        <w:t>FCF</w:t>
      </w:r>
      <w:r>
        <w:rPr>
          <w:rFonts w:ascii="Helvetica Neue" w:hAnsi="Helvetica Neue" w:hint="eastAsia"/>
          <w:color w:val="333333"/>
          <w:shd w:val="clear" w:color="auto" w:fill="FFFFFF"/>
        </w:rPr>
        <w:t>的</w:t>
      </w:r>
      <w:r>
        <w:rPr>
          <w:rFonts w:ascii="Helvetica Neue" w:hAnsi="Helvetica Neue"/>
          <w:color w:val="333333"/>
          <w:shd w:val="clear" w:color="auto" w:fill="FFFFFF"/>
        </w:rPr>
        <w:t>缺口由净债务融资和资产处置支撑。</w:t>
      </w:r>
    </w:p>
    <w:p w14:paraId="6FB1FDAB" w14:textId="2195244A" w:rsidR="00BC67A2" w:rsidRDefault="0082032F" w:rsidP="00132B67">
      <w:r w:rsidRPr="0082032F">
        <w:rPr>
          <w:noProof/>
        </w:rPr>
        <w:drawing>
          <wp:inline distT="0" distB="0" distL="0" distR="0" wp14:anchorId="7CC822C5" wp14:editId="517C5BA7">
            <wp:extent cx="6645910" cy="2993390"/>
            <wp:effectExtent l="0" t="0" r="0" b="3810"/>
            <wp:docPr id="887442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2377" name=""/>
                    <pic:cNvPicPr/>
                  </pic:nvPicPr>
                  <pic:blipFill>
                    <a:blip r:embed="rId22"/>
                    <a:stretch>
                      <a:fillRect/>
                    </a:stretch>
                  </pic:blipFill>
                  <pic:spPr>
                    <a:xfrm>
                      <a:off x="0" y="0"/>
                      <a:ext cx="6645910" cy="2993390"/>
                    </a:xfrm>
                    <a:prstGeom prst="rect">
                      <a:avLst/>
                    </a:prstGeom>
                  </pic:spPr>
                </pic:pic>
              </a:graphicData>
            </a:graphic>
          </wp:inline>
        </w:drawing>
      </w:r>
    </w:p>
    <w:p w14:paraId="11C322D1" w14:textId="77777777" w:rsidR="00BC67A2" w:rsidRDefault="00BC67A2" w:rsidP="00132B67"/>
    <w:p w14:paraId="41DC21C9" w14:textId="77777777" w:rsidR="00C04CA3" w:rsidRPr="00BE1F00" w:rsidRDefault="00C04CA3" w:rsidP="00132B67">
      <w:pPr>
        <w:pStyle w:val="ae"/>
        <w:rPr>
          <w:rFonts w:ascii="Helvetica Neue" w:eastAsiaTheme="minorEastAsia" w:hAnsi="Helvetica Neue" w:cstheme="minorBidi"/>
          <w:b/>
          <w:bCs/>
          <w:color w:val="333333"/>
          <w:kern w:val="2"/>
          <w:sz w:val="22"/>
          <w:shd w:val="clear" w:color="auto" w:fill="FFFFFF"/>
          <w14:ligatures w14:val="standardContextual"/>
        </w:rPr>
      </w:pPr>
      <w:r w:rsidRPr="007A26A2">
        <w:rPr>
          <w:rFonts w:ascii="Helvetica Neue" w:eastAsiaTheme="minorEastAsia" w:hAnsi="Helvetica Neue" w:cstheme="minorBidi"/>
          <w:b/>
          <w:bCs/>
          <w:color w:val="333333"/>
          <w:kern w:val="2"/>
          <w:sz w:val="22"/>
          <w:shd w:val="clear" w:color="auto" w:fill="FFFFFF"/>
          <w14:ligatures w14:val="standardContextual"/>
        </w:rPr>
        <w:t>剩余履约义务</w:t>
      </w:r>
    </w:p>
    <w:p w14:paraId="3508EB4B" w14:textId="77777777" w:rsidR="00C04CA3" w:rsidRPr="007A26A2" w:rsidRDefault="00C04CA3" w:rsidP="00132B67">
      <w:r>
        <w:rPr>
          <w:rFonts w:hint="eastAsia"/>
        </w:rPr>
        <w:t>2025.12.31，林德估算有</w:t>
      </w:r>
      <w:r w:rsidRPr="007A26A2">
        <w:t>$62B</w:t>
      </w:r>
      <w:r>
        <w:rPr>
          <w:rFonts w:hint="eastAsia"/>
        </w:rPr>
        <w:t>剩余履约义务，</w:t>
      </w:r>
      <w:r w:rsidRPr="007A26A2">
        <w:t>对应</w:t>
      </w:r>
      <w:r>
        <w:rPr>
          <w:rFonts w:hint="eastAsia"/>
        </w:rPr>
        <w:t>“on-site</w:t>
      </w:r>
      <w:r w:rsidRPr="00B62A5A">
        <w:rPr>
          <w:rStyle w:val="af"/>
          <w:rFonts w:ascii="Segoe UI" w:hAnsi="Segoe UI" w:cs="Segoe UI"/>
          <w:b w:val="0"/>
          <w:bCs w:val="0"/>
          <w:sz w:val="23"/>
          <w:szCs w:val="23"/>
          <w:shd w:val="clear" w:color="auto" w:fill="FFFFFF"/>
        </w:rPr>
        <w:t>最低采购要求</w:t>
      </w:r>
      <w:r w:rsidRPr="00B62A5A">
        <w:rPr>
          <w:rStyle w:val="af"/>
          <w:rFonts w:ascii="Segoe UI" w:hAnsi="Segoe UI" w:cs="Segoe UI"/>
          <w:b w:val="0"/>
          <w:bCs w:val="0"/>
          <w:sz w:val="23"/>
          <w:szCs w:val="23"/>
          <w:shd w:val="clear" w:color="auto" w:fill="FFFFFF"/>
        </w:rPr>
        <w:t>+</w:t>
      </w:r>
      <w:r w:rsidRPr="00B62A5A">
        <w:rPr>
          <w:rStyle w:val="af"/>
          <w:rFonts w:ascii="Segoe UI" w:hAnsi="Segoe UI" w:cs="Segoe UI"/>
          <w:b w:val="0"/>
          <w:bCs w:val="0"/>
          <w:sz w:val="23"/>
          <w:szCs w:val="23"/>
          <w:shd w:val="clear" w:color="auto" w:fill="FFFFFF"/>
        </w:rPr>
        <w:t>工程固定价项目销售</w:t>
      </w:r>
      <w:r>
        <w:rPr>
          <w:rStyle w:val="af"/>
          <w:rFonts w:ascii="Segoe UI" w:hAnsi="Segoe UI" w:cs="Segoe UI" w:hint="eastAsia"/>
          <w:b w:val="0"/>
          <w:bCs w:val="0"/>
          <w:sz w:val="23"/>
          <w:szCs w:val="23"/>
          <w:shd w:val="clear" w:color="auto" w:fill="FFFFFF"/>
        </w:rPr>
        <w:t>”</w:t>
      </w:r>
      <w:r w:rsidRPr="007A26A2">
        <w:t>，因此这是收入的下限而非上限；合同实际最长期限可达30 年，约半数（≈$31B，年均 ≈$5.2B）在未来 6 年确认。但三项限制决定了它不可被放大使用：一是未折现，且年报自列签约/终止/续约时点、通胀调价、汇率、气电转嫁成本四类变动因素，不等于在手订单；二是未拆分 on-site 最低采购与工程项目；三是它只覆盖 on-site 这一层</w:t>
      </w:r>
      <w:r>
        <w:rPr>
          <w:rFonts w:hint="eastAsia"/>
        </w:rPr>
        <w:t>。</w:t>
      </w:r>
      <w:r w:rsidRPr="007A26A2">
        <w:t>结论：$62B 证明长协地板确实存在、且有清晰的6年确认窗口，但同时把这份确定性严格限定在收入的约四分之一——On-Site 占总收入 23.8%、占工业气体 25.5%——不足以支撑"林德整体收入具有长期可见性"这一结论。</w:t>
      </w:r>
    </w:p>
    <w:p w14:paraId="61EFA6BA" w14:textId="77777777" w:rsidR="00C04CA3" w:rsidRDefault="00C04CA3" w:rsidP="00132B67"/>
    <w:p w14:paraId="7A767310" w14:textId="5AD6B8BB" w:rsidR="00EC6550" w:rsidRDefault="00A026A7" w:rsidP="00132B67">
      <w:pPr>
        <w:rPr>
          <w:b/>
          <w:bCs/>
        </w:rPr>
      </w:pPr>
      <w:r w:rsidRPr="00C04CA3">
        <w:rPr>
          <w:rFonts w:hint="eastAsia"/>
          <w:b/>
          <w:bCs/>
        </w:rPr>
        <w:t>销售气体项目储备</w:t>
      </w:r>
      <w:r w:rsidR="00C04CA3" w:rsidRPr="00C04CA3">
        <w:rPr>
          <w:rFonts w:hint="eastAsia"/>
          <w:b/>
          <w:bCs/>
        </w:rPr>
        <w:t>（</w:t>
      </w:r>
      <w:r w:rsidRPr="00C04CA3">
        <w:rPr>
          <w:rFonts w:hint="eastAsia"/>
          <w:b/>
          <w:bCs/>
        </w:rPr>
        <w:t>在建项目backlog</w:t>
      </w:r>
      <w:r w:rsidR="00C04CA3" w:rsidRPr="00C04CA3">
        <w:rPr>
          <w:rFonts w:hint="eastAsia"/>
          <w:b/>
          <w:bCs/>
        </w:rPr>
        <w:t>）</w:t>
      </w:r>
    </w:p>
    <w:p w14:paraId="46540AE3" w14:textId="77777777" w:rsidR="00EC6550" w:rsidRDefault="00C04CA3" w:rsidP="00132B67">
      <w:r>
        <w:rPr>
          <w:rFonts w:hint="eastAsia"/>
        </w:rPr>
        <w:t>林德在建大型气体工厂的预计资本开支总额。工厂建成后不卖设备，通过长期供气合同卖气体。</w:t>
      </w:r>
    </w:p>
    <w:p w14:paraId="38EA367D" w14:textId="21326F26" w:rsidR="00C04CA3" w:rsidRDefault="00EC6550" w:rsidP="00132B67">
      <w:r>
        <w:rPr>
          <w:rFonts w:hint="eastAsia"/>
        </w:rPr>
        <w:t>（</w:t>
      </w:r>
      <w:r w:rsidRPr="00EC6550">
        <w:t>sale of gas backlog of large projects under construction</w:t>
      </w:r>
      <w:r>
        <w:rPr>
          <w:rFonts w:hint="eastAsia"/>
        </w:rPr>
        <w:t>）</w:t>
      </w:r>
    </w:p>
    <w:p w14:paraId="0146B5AC" w14:textId="50FA43F7" w:rsidR="00C04CA3" w:rsidRDefault="00C04CA3" w:rsidP="00132B67">
      <w:r w:rsidRPr="00C04CA3">
        <w:rPr>
          <w:noProof/>
        </w:rPr>
        <w:drawing>
          <wp:inline distT="0" distB="0" distL="0" distR="0" wp14:anchorId="2C0E3EB0" wp14:editId="315946AB">
            <wp:extent cx="4834647" cy="2264884"/>
            <wp:effectExtent l="0" t="0" r="4445" b="0"/>
            <wp:docPr id="566187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7847" name=""/>
                    <pic:cNvPicPr/>
                  </pic:nvPicPr>
                  <pic:blipFill>
                    <a:blip r:embed="rId23"/>
                    <a:stretch>
                      <a:fillRect/>
                    </a:stretch>
                  </pic:blipFill>
                  <pic:spPr>
                    <a:xfrm>
                      <a:off x="0" y="0"/>
                      <a:ext cx="4857584" cy="2275629"/>
                    </a:xfrm>
                    <a:prstGeom prst="rect">
                      <a:avLst/>
                    </a:prstGeom>
                  </pic:spPr>
                </pic:pic>
              </a:graphicData>
            </a:graphic>
          </wp:inline>
        </w:drawing>
      </w:r>
    </w:p>
    <w:tbl>
      <w:tblPr>
        <w:tblStyle w:val="af0"/>
        <w:tblW w:w="0" w:type="auto"/>
        <w:tblLook w:val="04A0" w:firstRow="1" w:lastRow="0" w:firstColumn="1" w:lastColumn="0" w:noHBand="0" w:noVBand="1"/>
      </w:tblPr>
      <w:tblGrid>
        <w:gridCol w:w="2122"/>
        <w:gridCol w:w="2083"/>
        <w:gridCol w:w="2084"/>
        <w:gridCol w:w="2083"/>
        <w:gridCol w:w="2084"/>
      </w:tblGrid>
      <w:tr w:rsidR="005118B5" w14:paraId="275EC76A" w14:textId="75D6C8F3" w:rsidTr="005118B5">
        <w:tc>
          <w:tcPr>
            <w:tcW w:w="2122" w:type="dxa"/>
          </w:tcPr>
          <w:p w14:paraId="7C8C4596" w14:textId="77777777" w:rsidR="005118B5" w:rsidRDefault="005118B5" w:rsidP="00132B67"/>
        </w:tc>
        <w:tc>
          <w:tcPr>
            <w:tcW w:w="2083" w:type="dxa"/>
          </w:tcPr>
          <w:p w14:paraId="2C567CB6" w14:textId="16356314" w:rsidR="005118B5" w:rsidRDefault="005118B5" w:rsidP="00132B67">
            <w:r>
              <w:rPr>
                <w:rFonts w:hint="eastAsia"/>
              </w:rPr>
              <w:t>2025.12.31</w:t>
            </w:r>
          </w:p>
        </w:tc>
        <w:tc>
          <w:tcPr>
            <w:tcW w:w="2084" w:type="dxa"/>
          </w:tcPr>
          <w:p w14:paraId="0CFB1748" w14:textId="1F688DA5" w:rsidR="005118B5" w:rsidRDefault="005118B5" w:rsidP="00132B67">
            <w:r>
              <w:rPr>
                <w:rFonts w:hint="eastAsia"/>
              </w:rPr>
              <w:t>2026.03.31</w:t>
            </w:r>
          </w:p>
        </w:tc>
        <w:tc>
          <w:tcPr>
            <w:tcW w:w="2083" w:type="dxa"/>
          </w:tcPr>
          <w:p w14:paraId="17B8CB5F" w14:textId="44344E26" w:rsidR="005118B5" w:rsidRDefault="005118B5" w:rsidP="00132B67">
            <w:r>
              <w:rPr>
                <w:rFonts w:hint="eastAsia"/>
              </w:rPr>
              <w:t>2026.06.30</w:t>
            </w:r>
          </w:p>
        </w:tc>
        <w:tc>
          <w:tcPr>
            <w:tcW w:w="2084" w:type="dxa"/>
          </w:tcPr>
          <w:p w14:paraId="4BE81986" w14:textId="33BF6942" w:rsidR="005118B5" w:rsidRDefault="005118B5" w:rsidP="00132B67">
            <w:r>
              <w:rPr>
                <w:rFonts w:hint="eastAsia"/>
              </w:rPr>
              <w:t>2026.12.31</w:t>
            </w:r>
          </w:p>
        </w:tc>
      </w:tr>
      <w:tr w:rsidR="005118B5" w14:paraId="25FB5E9F" w14:textId="2227FE47" w:rsidTr="005118B5">
        <w:tc>
          <w:tcPr>
            <w:tcW w:w="2122" w:type="dxa"/>
          </w:tcPr>
          <w:p w14:paraId="7A15076B" w14:textId="742E77EE" w:rsidR="005118B5" w:rsidRDefault="005118B5" w:rsidP="00132B67">
            <w:r>
              <w:rPr>
                <w:rFonts w:hint="eastAsia"/>
              </w:rPr>
              <w:t>销售气体项目储备</w:t>
            </w:r>
          </w:p>
        </w:tc>
        <w:tc>
          <w:tcPr>
            <w:tcW w:w="2083" w:type="dxa"/>
          </w:tcPr>
          <w:p w14:paraId="13CA92E1" w14:textId="40539FC4" w:rsidR="005118B5" w:rsidRDefault="005118B5" w:rsidP="00132B67">
            <w:r>
              <w:rPr>
                <w:rFonts w:hint="eastAsia"/>
              </w:rPr>
              <w:t>7.3B</w:t>
            </w:r>
          </w:p>
        </w:tc>
        <w:tc>
          <w:tcPr>
            <w:tcW w:w="2084" w:type="dxa"/>
          </w:tcPr>
          <w:p w14:paraId="5D7170B8" w14:textId="7B66A582" w:rsidR="005118B5" w:rsidRDefault="005118B5" w:rsidP="00132B67">
            <w:r>
              <w:rPr>
                <w:rFonts w:hint="eastAsia"/>
              </w:rPr>
              <w:t>7</w:t>
            </w:r>
            <w:r>
              <w:t>.</w:t>
            </w:r>
            <w:r>
              <w:rPr>
                <w:rFonts w:hint="eastAsia"/>
              </w:rPr>
              <w:t>1B</w:t>
            </w:r>
          </w:p>
        </w:tc>
        <w:tc>
          <w:tcPr>
            <w:tcW w:w="2083" w:type="dxa"/>
          </w:tcPr>
          <w:p w14:paraId="63FE1869" w14:textId="5F6EFC92" w:rsidR="005118B5" w:rsidRDefault="005118B5" w:rsidP="00132B67">
            <w:r>
              <w:rPr>
                <w:rFonts w:hint="eastAsia"/>
              </w:rPr>
              <w:t>8.1B</w:t>
            </w:r>
          </w:p>
        </w:tc>
        <w:tc>
          <w:tcPr>
            <w:tcW w:w="2084" w:type="dxa"/>
          </w:tcPr>
          <w:p w14:paraId="7352A00A" w14:textId="4C64EBE0" w:rsidR="005118B5" w:rsidRDefault="005118B5" w:rsidP="00132B67">
            <w:r>
              <w:t>&gt;8B</w:t>
            </w:r>
            <w:r>
              <w:rPr>
                <w:rFonts w:hint="eastAsia"/>
              </w:rPr>
              <w:t>（</w:t>
            </w:r>
            <w:r>
              <w:t>26Q2</w:t>
            </w:r>
            <w:r>
              <w:rPr>
                <w:rFonts w:hint="eastAsia"/>
              </w:rPr>
              <w:t>指引</w:t>
            </w:r>
            <w:r>
              <w:t>）</w:t>
            </w:r>
          </w:p>
        </w:tc>
      </w:tr>
      <w:tr w:rsidR="005118B5" w14:paraId="5A3E3C88" w14:textId="43D28CF4" w:rsidTr="005118B5">
        <w:tc>
          <w:tcPr>
            <w:tcW w:w="2122" w:type="dxa"/>
          </w:tcPr>
          <w:p w14:paraId="3769B182" w14:textId="51B15F71" w:rsidR="005118B5" w:rsidRDefault="005118B5" w:rsidP="00132B67">
            <w:r>
              <w:rPr>
                <w:rFonts w:hint="eastAsia"/>
              </w:rPr>
              <w:t>环比</w:t>
            </w:r>
          </w:p>
        </w:tc>
        <w:tc>
          <w:tcPr>
            <w:tcW w:w="2083" w:type="dxa"/>
          </w:tcPr>
          <w:p w14:paraId="6CCBA775" w14:textId="50CBE579" w:rsidR="005118B5" w:rsidRDefault="005118B5" w:rsidP="00132B67">
            <w:r>
              <w:t>+2.8%</w:t>
            </w:r>
          </w:p>
        </w:tc>
        <w:tc>
          <w:tcPr>
            <w:tcW w:w="2084" w:type="dxa"/>
          </w:tcPr>
          <w:p w14:paraId="5BE42E89" w14:textId="30EA5BEF" w:rsidR="005118B5" w:rsidRDefault="005118B5" w:rsidP="00132B67">
            <w:r>
              <w:t>-2.7%</w:t>
            </w:r>
          </w:p>
        </w:tc>
        <w:tc>
          <w:tcPr>
            <w:tcW w:w="2083" w:type="dxa"/>
          </w:tcPr>
          <w:p w14:paraId="5BDA2159" w14:textId="0CFF013D" w:rsidR="005118B5" w:rsidRDefault="005118B5" w:rsidP="00132B67">
            <w:r>
              <w:t>+14%</w:t>
            </w:r>
          </w:p>
        </w:tc>
        <w:tc>
          <w:tcPr>
            <w:tcW w:w="2084" w:type="dxa"/>
          </w:tcPr>
          <w:p w14:paraId="7F764713" w14:textId="48DB08A3" w:rsidR="005118B5" w:rsidRDefault="005118B5" w:rsidP="00132B67"/>
        </w:tc>
      </w:tr>
    </w:tbl>
    <w:p w14:paraId="06F4AC82" w14:textId="77777777" w:rsidR="00C04CA3" w:rsidRDefault="00C04CA3" w:rsidP="00132B67"/>
    <w:p w14:paraId="2CB370FB" w14:textId="77777777" w:rsidR="0084450A" w:rsidRDefault="0084450A" w:rsidP="00132B67"/>
    <w:p w14:paraId="1CD68066" w14:textId="4ACF2450" w:rsidR="0084450A" w:rsidRPr="0084450A" w:rsidRDefault="0084450A" w:rsidP="00132B67">
      <w:pPr>
        <w:rPr>
          <w:b/>
          <w:bCs/>
        </w:rPr>
      </w:pPr>
      <w:proofErr w:type="spellStart"/>
      <w:r w:rsidRPr="0084450A">
        <w:rPr>
          <w:rFonts w:hint="eastAsia"/>
          <w:b/>
          <w:bCs/>
        </w:rPr>
        <w:t>Lincare</w:t>
      </w:r>
      <w:proofErr w:type="spellEnd"/>
    </w:p>
    <w:p w14:paraId="60C244B9" w14:textId="77777777" w:rsidR="00C87DC3" w:rsidRDefault="007B5848" w:rsidP="00132B67">
      <w:r w:rsidRPr="007B5848">
        <w:t>美国居家护理业务</w:t>
      </w:r>
      <w:proofErr w:type="spellStart"/>
      <w:r w:rsidRPr="007B5848">
        <w:t>Lincare</w:t>
      </w:r>
      <w:proofErr w:type="spellEnd"/>
      <w:r w:rsidRPr="007B5848">
        <w:t>在Q2 2026对利润的拖累金额比市场估算高出约30%，主要受劳动力成本通胀、医保报销政策持续收紧（2023/2024年费率削减约1.5-2%，近期升至约3.5%）以及疫情公共卫生紧急状态结束后业务组合调整滞后的三重挤压。</w:t>
      </w:r>
    </w:p>
    <w:p w14:paraId="22C62197" w14:textId="7FA60279" w:rsidR="00C87DC3" w:rsidRPr="00F06BA9" w:rsidRDefault="00C87DC3" w:rsidP="00132B67">
      <w:proofErr w:type="spellStart"/>
      <w:r w:rsidRPr="00BF1322">
        <w:t>Lincare</w:t>
      </w:r>
      <w:proofErr w:type="spellEnd"/>
      <w:r w:rsidRPr="00BF1322">
        <w:t xml:space="preserve"> FY2025收入约22亿美元，EBIT利润率约14%（EBIT约3.15亿美元）。FY2026预计收入21-22亿美元，EBIT利润率8-10%（EBIT约1.9亿美元），同比下降约1.25亿美元。美国医疗保健和社会援助行业的工资通胀持续跑赢Medicare DME费率调整，自2022年以来的累计影响已转负。</w:t>
      </w:r>
    </w:p>
    <w:p w14:paraId="1C538271" w14:textId="17D35DE7" w:rsidR="0084450A" w:rsidRDefault="007B5848" w:rsidP="00132B67">
      <w:r w:rsidRPr="007B5848">
        <w:t>公司已更换该业务管理层，由CFO Matt White直接牵头进行全面的重组，包括裁员、业务组合优化、领导层更换和系统升级。管理层目标是将该业务利润率恢复至中双位数水平（2026年9月投资者会议），并可能在2027年完成修复后考虑出售。自Q3起，</w:t>
      </w:r>
      <w:proofErr w:type="spellStart"/>
      <w:r w:rsidRPr="007B5848">
        <w:t>Lincare</w:t>
      </w:r>
      <w:proofErr w:type="spellEnd"/>
      <w:r w:rsidRPr="007B5848">
        <w:t>将从美洲分部剥离，转入“全球其他”分部。</w:t>
      </w:r>
    </w:p>
    <w:p w14:paraId="0EB58883" w14:textId="77777777" w:rsidR="0084450A" w:rsidRDefault="0084450A" w:rsidP="00132B67"/>
    <w:p w14:paraId="6CAA9A92" w14:textId="1F12C80A" w:rsidR="00350A5F" w:rsidRPr="003F7816" w:rsidRDefault="00350A5F" w:rsidP="00132B67">
      <w:pPr>
        <w:rPr>
          <w:b/>
          <w:bCs/>
        </w:rPr>
      </w:pPr>
      <w:r w:rsidRPr="003F7816">
        <w:rPr>
          <w:rFonts w:hint="eastAsia"/>
          <w:b/>
          <w:bCs/>
        </w:rPr>
        <w:t>未来项目机会</w:t>
      </w:r>
    </w:p>
    <w:p w14:paraId="0A2C2511" w14:textId="2FBF1AC5" w:rsidR="00350A5F" w:rsidRDefault="00350A5F" w:rsidP="00132B67">
      <w:r w:rsidRPr="00350A5F">
        <w:rPr>
          <w:noProof/>
        </w:rPr>
        <w:drawing>
          <wp:inline distT="0" distB="0" distL="0" distR="0" wp14:anchorId="5172B3BC" wp14:editId="54F0B369">
            <wp:extent cx="6645910" cy="1619885"/>
            <wp:effectExtent l="0" t="0" r="0" b="5715"/>
            <wp:docPr id="195378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9277" name=""/>
                    <pic:cNvPicPr/>
                  </pic:nvPicPr>
                  <pic:blipFill>
                    <a:blip r:embed="rId24"/>
                    <a:stretch>
                      <a:fillRect/>
                    </a:stretch>
                  </pic:blipFill>
                  <pic:spPr>
                    <a:xfrm>
                      <a:off x="0" y="0"/>
                      <a:ext cx="6645910" cy="1619885"/>
                    </a:xfrm>
                    <a:prstGeom prst="rect">
                      <a:avLst/>
                    </a:prstGeom>
                  </pic:spPr>
                </pic:pic>
              </a:graphicData>
            </a:graphic>
          </wp:inline>
        </w:drawing>
      </w:r>
    </w:p>
    <w:p w14:paraId="51353B16"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TSMC Arizona——</w:t>
      </w:r>
      <w:r w:rsidRPr="00121A46">
        <w:rPr>
          <w:rFonts w:ascii="Segoe UI" w:hAnsi="Segoe UI" w:cs="Segoe UI"/>
          <w:sz w:val="21"/>
          <w:szCs w:val="21"/>
        </w:rPr>
        <w:t>林德在凤凰城为台积电</w:t>
      </w:r>
      <w:r w:rsidRPr="00121A46">
        <w:rPr>
          <w:rFonts w:ascii="Segoe UI" w:hAnsi="Segoe UI" w:cs="Segoe UI"/>
          <w:sz w:val="21"/>
          <w:szCs w:val="21"/>
        </w:rPr>
        <w:t xml:space="preserve"> Fab 21 </w:t>
      </w:r>
      <w:r w:rsidRPr="00121A46">
        <w:rPr>
          <w:rFonts w:ascii="Segoe UI" w:hAnsi="Segoe UI" w:cs="Segoe UI"/>
          <w:sz w:val="21"/>
          <w:szCs w:val="21"/>
        </w:rPr>
        <w:t>建</w:t>
      </w:r>
      <w:r w:rsidRPr="00121A46">
        <w:rPr>
          <w:rFonts w:ascii="Segoe UI" w:hAnsi="Segoe UI" w:cs="Segoe UI"/>
          <w:sz w:val="21"/>
          <w:szCs w:val="21"/>
        </w:rPr>
        <w:t xml:space="preserve"> on-site </w:t>
      </w:r>
      <w:r w:rsidRPr="00121A46">
        <w:rPr>
          <w:rFonts w:ascii="Segoe UI" w:hAnsi="Segoe UI" w:cs="Segoe UI"/>
          <w:sz w:val="21"/>
          <w:szCs w:val="21"/>
        </w:rPr>
        <w:t>气体综合体，属电子</w:t>
      </w:r>
      <w:r w:rsidRPr="00121A46">
        <w:rPr>
          <w:rFonts w:ascii="Segoe UI" w:hAnsi="Segoe UI" w:cs="Segoe UI"/>
          <w:sz w:val="21"/>
          <w:szCs w:val="21"/>
        </w:rPr>
        <w:t xml:space="preserve"> on-site</w:t>
      </w:r>
      <w:r w:rsidRPr="00121A46">
        <w:rPr>
          <w:rFonts w:ascii="Segoe UI" w:hAnsi="Segoe UI" w:cs="Segoe UI"/>
          <w:sz w:val="21"/>
          <w:szCs w:val="21"/>
        </w:rPr>
        <w:t>，是林德</w:t>
      </w:r>
      <w:r w:rsidRPr="00121A46">
        <w:rPr>
          <w:rFonts w:ascii="Segoe UI" w:hAnsi="Segoe UI" w:cs="Segoe UI"/>
          <w:sz w:val="21"/>
          <w:szCs w:val="21"/>
        </w:rPr>
        <w:t>"</w:t>
      </w:r>
      <w:r w:rsidRPr="00121A46">
        <w:rPr>
          <w:rFonts w:ascii="Segoe UI" w:hAnsi="Segoe UI" w:cs="Segoe UI"/>
          <w:sz w:val="21"/>
          <w:szCs w:val="21"/>
        </w:rPr>
        <w:t>对单一电子客户全球最大投资之一</w:t>
      </w:r>
      <w:r w:rsidRPr="00121A46">
        <w:rPr>
          <w:rFonts w:ascii="Segoe UI" w:hAnsi="Segoe UI" w:cs="Segoe UI"/>
          <w:sz w:val="21"/>
          <w:szCs w:val="21"/>
        </w:rPr>
        <w:t>"</w:t>
      </w:r>
      <w:r w:rsidRPr="00121A46">
        <w:rPr>
          <w:rFonts w:ascii="Segoe UI" w:hAnsi="Segoe UI" w:cs="Segoe UI"/>
          <w:sz w:val="21"/>
          <w:szCs w:val="21"/>
        </w:rPr>
        <w:t>；同批还有台湾合资公司</w:t>
      </w:r>
      <w:r w:rsidRPr="00121A46">
        <w:rPr>
          <w:rFonts w:ascii="Segoe UI" w:hAnsi="Segoe UI" w:cs="Segoe UI"/>
          <w:sz w:val="21"/>
          <w:szCs w:val="21"/>
        </w:rPr>
        <w:t xml:space="preserve"> Linde </w:t>
      </w:r>
      <w:proofErr w:type="spellStart"/>
      <w:r w:rsidRPr="00121A46">
        <w:rPr>
          <w:rFonts w:ascii="Segoe UI" w:hAnsi="Segoe UI" w:cs="Segoe UI"/>
          <w:sz w:val="21"/>
          <w:szCs w:val="21"/>
        </w:rPr>
        <w:t>LienHwa</w:t>
      </w:r>
      <w:proofErr w:type="spellEnd"/>
      <w:r w:rsidRPr="00121A46">
        <w:rPr>
          <w:rFonts w:ascii="Segoe UI" w:hAnsi="Segoe UI" w:cs="Segoe UI"/>
          <w:sz w:val="21"/>
          <w:szCs w:val="21"/>
        </w:rPr>
        <w:t xml:space="preserve"> </w:t>
      </w:r>
      <w:r w:rsidRPr="00121A46">
        <w:rPr>
          <w:rFonts w:ascii="Segoe UI" w:hAnsi="Segoe UI" w:cs="Segoe UI"/>
          <w:sz w:val="21"/>
          <w:szCs w:val="21"/>
        </w:rPr>
        <w:t>约</w:t>
      </w:r>
      <w:r w:rsidRPr="00121A46">
        <w:rPr>
          <w:rFonts w:ascii="Segoe UI" w:hAnsi="Segoe UI" w:cs="Segoe UI"/>
          <w:sz w:val="21"/>
          <w:szCs w:val="21"/>
        </w:rPr>
        <w:t xml:space="preserve"> $8 </w:t>
      </w:r>
      <w:r w:rsidRPr="00121A46">
        <w:rPr>
          <w:rFonts w:ascii="Segoe UI" w:hAnsi="Segoe UI" w:cs="Segoe UI"/>
          <w:sz w:val="21"/>
          <w:szCs w:val="21"/>
        </w:rPr>
        <w:t>亿（供同一客户在台湾的晶圆厂与先进封装厂）。</w:t>
      </w:r>
    </w:p>
    <w:p w14:paraId="0228ADDD"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lastRenderedPageBreak/>
        <w:t xml:space="preserve">Woodside Beaumont——1.1 Mtpa </w:t>
      </w:r>
      <w:r w:rsidRPr="00121A46">
        <w:rPr>
          <w:rFonts w:ascii="Segoe UI" w:hAnsi="Segoe UI" w:cs="Segoe UI"/>
          <w:sz w:val="21"/>
          <w:szCs w:val="21"/>
        </w:rPr>
        <w:t>蓝氨厂，原为</w:t>
      </w:r>
      <w:r w:rsidRPr="00121A46">
        <w:rPr>
          <w:rFonts w:ascii="Segoe UI" w:hAnsi="Segoe UI" w:cs="Segoe UI"/>
          <w:sz w:val="21"/>
          <w:szCs w:val="21"/>
        </w:rPr>
        <w:t xml:space="preserve"> OCI </w:t>
      </w:r>
      <w:r w:rsidRPr="00121A46">
        <w:rPr>
          <w:rFonts w:ascii="Segoe UI" w:hAnsi="Segoe UI" w:cs="Segoe UI"/>
          <w:sz w:val="21"/>
          <w:szCs w:val="21"/>
        </w:rPr>
        <w:t>的</w:t>
      </w:r>
      <w:r w:rsidRPr="00121A46">
        <w:rPr>
          <w:rFonts w:ascii="Segoe UI" w:hAnsi="Segoe UI" w:cs="Segoe UI"/>
          <w:sz w:val="21"/>
          <w:szCs w:val="21"/>
        </w:rPr>
        <w:t xml:space="preserve"> Clean Ammonia </w:t>
      </w:r>
      <w:r w:rsidRPr="00121A46">
        <w:rPr>
          <w:rFonts w:ascii="Segoe UI" w:hAnsi="Segoe UI" w:cs="Segoe UI"/>
          <w:sz w:val="21"/>
          <w:szCs w:val="21"/>
        </w:rPr>
        <w:t>项目，</w:t>
      </w:r>
      <w:r w:rsidRPr="00121A46">
        <w:rPr>
          <w:rFonts w:ascii="Segoe UI" w:hAnsi="Segoe UI" w:cs="Segoe UI"/>
          <w:sz w:val="21"/>
          <w:szCs w:val="21"/>
        </w:rPr>
        <w:t xml:space="preserve">Woodside </w:t>
      </w:r>
      <w:r w:rsidRPr="00121A46">
        <w:rPr>
          <w:rFonts w:ascii="Segoe UI" w:hAnsi="Segoe UI" w:cs="Segoe UI"/>
          <w:sz w:val="21"/>
          <w:szCs w:val="21"/>
        </w:rPr>
        <w:t>于</w:t>
      </w:r>
      <w:r w:rsidRPr="00121A46">
        <w:rPr>
          <w:rFonts w:ascii="Segoe UI" w:hAnsi="Segoe UI" w:cs="Segoe UI"/>
          <w:sz w:val="21"/>
          <w:szCs w:val="21"/>
        </w:rPr>
        <w:t xml:space="preserve"> 2024-09 </w:t>
      </w:r>
      <w:r w:rsidRPr="00121A46">
        <w:rPr>
          <w:rFonts w:ascii="Segoe UI" w:hAnsi="Segoe UI" w:cs="Segoe UI"/>
          <w:sz w:val="21"/>
          <w:szCs w:val="21"/>
        </w:rPr>
        <w:t>以</w:t>
      </w:r>
      <w:r w:rsidRPr="00121A46">
        <w:rPr>
          <w:rFonts w:ascii="Segoe UI" w:hAnsi="Segoe UI" w:cs="Segoe UI"/>
          <w:sz w:val="21"/>
          <w:szCs w:val="21"/>
        </w:rPr>
        <w:t xml:space="preserve"> $23.5 </w:t>
      </w:r>
      <w:r w:rsidRPr="00121A46">
        <w:rPr>
          <w:rFonts w:ascii="Segoe UI" w:hAnsi="Segoe UI" w:cs="Segoe UI"/>
          <w:sz w:val="21"/>
          <w:szCs w:val="21"/>
        </w:rPr>
        <w:t>亿收购。林德的收入模式是收工厂费：目前按</w:t>
      </w:r>
      <w:r w:rsidRPr="00121A46">
        <w:rPr>
          <w:rFonts w:ascii="Segoe UI" w:hAnsi="Segoe UI" w:cs="Segoe UI"/>
          <w:sz w:val="21"/>
          <w:szCs w:val="21"/>
        </w:rPr>
        <w:t>"</w:t>
      </w:r>
      <w:r w:rsidRPr="00121A46">
        <w:rPr>
          <w:rFonts w:ascii="Segoe UI" w:hAnsi="Segoe UI" w:cs="Segoe UI"/>
          <w:sz w:val="21"/>
          <w:szCs w:val="21"/>
        </w:rPr>
        <w:t>灰氢工厂费</w:t>
      </w:r>
      <w:r w:rsidRPr="00121A46">
        <w:rPr>
          <w:rFonts w:ascii="Segoe UI" w:hAnsi="Segoe UI" w:cs="Segoe UI"/>
          <w:sz w:val="21"/>
          <w:szCs w:val="21"/>
        </w:rPr>
        <w:t>"</w:t>
      </w:r>
      <w:r w:rsidRPr="00121A46">
        <w:rPr>
          <w:rFonts w:ascii="Segoe UI" w:hAnsi="Segoe UI" w:cs="Segoe UI"/>
          <w:sz w:val="21"/>
          <w:szCs w:val="21"/>
        </w:rPr>
        <w:t>计费，待</w:t>
      </w:r>
      <w:r w:rsidRPr="00121A46">
        <w:rPr>
          <w:rFonts w:ascii="Segoe UI" w:hAnsi="Segoe UI" w:cs="Segoe UI"/>
          <w:sz w:val="21"/>
          <w:szCs w:val="21"/>
        </w:rPr>
        <w:t xml:space="preserve"> ATR </w:t>
      </w:r>
      <w:r w:rsidRPr="00121A46">
        <w:rPr>
          <w:rFonts w:ascii="Segoe UI" w:hAnsi="Segoe UI" w:cs="Segoe UI"/>
          <w:sz w:val="21"/>
          <w:szCs w:val="21"/>
        </w:rPr>
        <w:t>与封存投运后转为</w:t>
      </w:r>
      <w:r w:rsidRPr="00121A46">
        <w:rPr>
          <w:rFonts w:ascii="Segoe UI" w:hAnsi="Segoe UI" w:cs="Segoe UI"/>
          <w:sz w:val="21"/>
          <w:szCs w:val="21"/>
        </w:rPr>
        <w:t>"​</w:t>
      </w:r>
      <w:r w:rsidRPr="00121A46">
        <w:rPr>
          <w:rFonts w:ascii="Segoe UI" w:hAnsi="Segoe UI" w:cs="Segoe UI"/>
          <w:sz w:val="21"/>
          <w:szCs w:val="21"/>
        </w:rPr>
        <w:t>蓝氢工厂费</w:t>
      </w:r>
      <w:r w:rsidRPr="00121A46">
        <w:rPr>
          <w:rFonts w:ascii="Segoe UI" w:hAnsi="Segoe UI" w:cs="Segoe UI"/>
          <w:sz w:val="21"/>
          <w:szCs w:val="21"/>
        </w:rPr>
        <w:t>"</w:t>
      </w:r>
      <w:r w:rsidRPr="00121A46">
        <w:rPr>
          <w:rFonts w:ascii="Segoe UI" w:hAnsi="Segoe UI" w:cs="Segoe UI"/>
          <w:sz w:val="21"/>
          <w:szCs w:val="21"/>
        </w:rPr>
        <w:t>。现状：</w:t>
      </w:r>
      <w:r w:rsidRPr="00121A46">
        <w:rPr>
          <w:rFonts w:ascii="Segoe UI" w:hAnsi="Segoe UI" w:cs="Segoe UI"/>
          <w:sz w:val="21"/>
          <w:szCs w:val="21"/>
        </w:rPr>
        <w:t xml:space="preserve">2025-12 </w:t>
      </w:r>
      <w:r w:rsidRPr="00121A46">
        <w:rPr>
          <w:rFonts w:ascii="Segoe UI" w:hAnsi="Segoe UI" w:cs="Segoe UI"/>
          <w:sz w:val="21"/>
          <w:szCs w:val="21"/>
        </w:rPr>
        <w:t>首次产氨、</w:t>
      </w:r>
      <w:r w:rsidRPr="00121A46">
        <w:rPr>
          <w:rFonts w:ascii="Segoe UI" w:hAnsi="Segoe UI" w:cs="Segoe UI"/>
          <w:sz w:val="21"/>
          <w:szCs w:val="21"/>
        </w:rPr>
        <w:t xml:space="preserve">2026-03 </w:t>
      </w:r>
      <w:r w:rsidRPr="00121A46">
        <w:rPr>
          <w:rFonts w:ascii="Segoe UI" w:hAnsi="Segoe UI" w:cs="Segoe UI"/>
          <w:sz w:val="21"/>
          <w:szCs w:val="21"/>
        </w:rPr>
        <w:t>移交</w:t>
      </w:r>
      <w:r w:rsidRPr="00121A46">
        <w:rPr>
          <w:rFonts w:ascii="Segoe UI" w:hAnsi="Segoe UI" w:cs="Segoe UI"/>
          <w:sz w:val="21"/>
          <w:szCs w:val="21"/>
        </w:rPr>
        <w:t xml:space="preserve"> Woodside </w:t>
      </w:r>
      <w:r w:rsidRPr="00121A46">
        <w:rPr>
          <w:rFonts w:ascii="Segoe UI" w:hAnsi="Segoe UI" w:cs="Segoe UI"/>
          <w:sz w:val="21"/>
          <w:szCs w:val="21"/>
        </w:rPr>
        <w:t>运营，但当前无碳捕集、仅以</w:t>
      </w:r>
      <w:r w:rsidRPr="00121A46">
        <w:rPr>
          <w:rFonts w:ascii="Segoe UI" w:hAnsi="Segoe UI" w:cs="Segoe UI"/>
          <w:sz w:val="21"/>
          <w:szCs w:val="21"/>
        </w:rPr>
        <w:t xml:space="preserve"> 69% </w:t>
      </w:r>
      <w:r w:rsidRPr="00121A46">
        <w:rPr>
          <w:rFonts w:ascii="Segoe UI" w:hAnsi="Segoe UI" w:cs="Segoe UI"/>
          <w:sz w:val="21"/>
          <w:szCs w:val="21"/>
        </w:rPr>
        <w:t>产能运行；林德装置与</w:t>
      </w:r>
      <w:r w:rsidRPr="00121A46">
        <w:rPr>
          <w:rFonts w:ascii="Segoe UI" w:hAnsi="Segoe UI" w:cs="Segoe UI"/>
          <w:sz w:val="21"/>
          <w:szCs w:val="21"/>
        </w:rPr>
        <w:t xml:space="preserve"> ExxonMobil </w:t>
      </w:r>
      <w:r w:rsidRPr="00121A46">
        <w:rPr>
          <w:rFonts w:ascii="Segoe UI" w:hAnsi="Segoe UI" w:cs="Segoe UI"/>
          <w:sz w:val="21"/>
          <w:szCs w:val="21"/>
        </w:rPr>
        <w:t>封存系统要到</w:t>
      </w:r>
      <w:r w:rsidRPr="00121A46">
        <w:rPr>
          <w:rFonts w:ascii="Segoe UI" w:hAnsi="Segoe UI" w:cs="Segoe UI"/>
          <w:sz w:val="21"/>
          <w:szCs w:val="21"/>
        </w:rPr>
        <w:t> 2027 </w:t>
      </w:r>
      <w:r w:rsidRPr="00121A46">
        <w:rPr>
          <w:rFonts w:ascii="Segoe UI" w:hAnsi="Segoe UI" w:cs="Segoe UI"/>
          <w:sz w:val="21"/>
          <w:szCs w:val="21"/>
        </w:rPr>
        <w:t>才完成。</w:t>
      </w:r>
    </w:p>
    <w:p w14:paraId="6DA295DA"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Blue Point One</w:t>
      </w:r>
      <w:r w:rsidRPr="00121A46">
        <w:rPr>
          <w:rFonts w:ascii="Segoe UI" w:hAnsi="Segoe UI" w:cs="Segoe UI"/>
          <w:sz w:val="21"/>
          <w:szCs w:val="21"/>
        </w:rPr>
        <w:t>（蓝点）</w:t>
      </w:r>
      <w:r w:rsidRPr="00121A46">
        <w:rPr>
          <w:rFonts w:ascii="Segoe UI" w:hAnsi="Segoe UI" w:cs="Segoe UI"/>
          <w:sz w:val="21"/>
          <w:szCs w:val="21"/>
        </w:rPr>
        <w:t>​——CF Industries 40%</w:t>
      </w:r>
      <w:r w:rsidRPr="00121A46">
        <w:rPr>
          <w:rFonts w:ascii="Segoe UI" w:hAnsi="Segoe UI" w:cs="Segoe UI"/>
          <w:sz w:val="21"/>
          <w:szCs w:val="21"/>
        </w:rPr>
        <w:t>／</w:t>
      </w:r>
      <w:r w:rsidRPr="00121A46">
        <w:rPr>
          <w:rFonts w:ascii="Segoe UI" w:hAnsi="Segoe UI" w:cs="Segoe UI"/>
          <w:sz w:val="21"/>
          <w:szCs w:val="21"/>
        </w:rPr>
        <w:t>JERA 35%</w:t>
      </w:r>
      <w:r w:rsidRPr="00121A46">
        <w:rPr>
          <w:rFonts w:ascii="Segoe UI" w:hAnsi="Segoe UI" w:cs="Segoe UI"/>
          <w:sz w:val="21"/>
          <w:szCs w:val="21"/>
        </w:rPr>
        <w:t>／</w:t>
      </w:r>
      <w:r w:rsidRPr="00121A46">
        <w:rPr>
          <w:rFonts w:ascii="Segoe UI" w:hAnsi="Segoe UI" w:cs="Segoe UI"/>
          <w:sz w:val="21"/>
          <w:szCs w:val="21"/>
        </w:rPr>
        <w:t>Mitsui 25%</w:t>
      </w:r>
      <w:r w:rsidRPr="00121A46">
        <w:rPr>
          <w:rFonts w:ascii="Segoe UI" w:hAnsi="Segoe UI" w:cs="Segoe UI"/>
          <w:sz w:val="21"/>
          <w:szCs w:val="21"/>
        </w:rPr>
        <w:t>，总投资</w:t>
      </w:r>
      <w:r w:rsidRPr="00121A46">
        <w:rPr>
          <w:rFonts w:ascii="Segoe UI" w:hAnsi="Segoe UI" w:cs="Segoe UI"/>
          <w:sz w:val="21"/>
          <w:szCs w:val="21"/>
        </w:rPr>
        <w:t xml:space="preserve"> $37 </w:t>
      </w:r>
      <w:r w:rsidRPr="00121A46">
        <w:rPr>
          <w:rFonts w:ascii="Segoe UI" w:hAnsi="Segoe UI" w:cs="Segoe UI"/>
          <w:sz w:val="21"/>
          <w:szCs w:val="21"/>
        </w:rPr>
        <w:t>亿、产能</w:t>
      </w:r>
      <w:r w:rsidRPr="00121A46">
        <w:rPr>
          <w:rFonts w:ascii="Segoe UI" w:hAnsi="Segoe UI" w:cs="Segoe UI"/>
          <w:sz w:val="21"/>
          <w:szCs w:val="21"/>
        </w:rPr>
        <w:t> 1.4 Mtpa</w:t>
      </w:r>
      <w:r w:rsidRPr="00121A46">
        <w:rPr>
          <w:rFonts w:ascii="Segoe UI" w:hAnsi="Segoe UI" w:cs="Segoe UI"/>
          <w:sz w:val="21"/>
          <w:szCs w:val="21"/>
        </w:rPr>
        <w:t>（建成后为全球最大氨厂之一），</w:t>
      </w:r>
      <w:r w:rsidRPr="00121A46">
        <w:rPr>
          <w:rFonts w:ascii="Segoe UI" w:hAnsi="Segoe UI" w:cs="Segoe UI"/>
          <w:sz w:val="21"/>
          <w:szCs w:val="21"/>
        </w:rPr>
        <w:t xml:space="preserve">2026-08-27 </w:t>
      </w:r>
      <w:r w:rsidRPr="00121A46">
        <w:rPr>
          <w:rFonts w:ascii="Segoe UI" w:hAnsi="Segoe UI" w:cs="Segoe UI"/>
          <w:sz w:val="21"/>
          <w:szCs w:val="21"/>
        </w:rPr>
        <w:t>破土、</w:t>
      </w:r>
      <w:r w:rsidRPr="00121A46">
        <w:rPr>
          <w:rFonts w:ascii="Segoe UI" w:hAnsi="Segoe UI" w:cs="Segoe UI"/>
          <w:sz w:val="21"/>
          <w:szCs w:val="21"/>
        </w:rPr>
        <w:t xml:space="preserve">2029 </w:t>
      </w:r>
      <w:r w:rsidRPr="00121A46">
        <w:rPr>
          <w:rFonts w:ascii="Segoe UI" w:hAnsi="Segoe UI" w:cs="Segoe UI"/>
          <w:sz w:val="21"/>
          <w:szCs w:val="21"/>
        </w:rPr>
        <w:t>投产。</w:t>
      </w:r>
      <w:r w:rsidRPr="00121A46">
        <w:rPr>
          <w:rFonts w:ascii="Segoe UI" w:hAnsi="Segoe UI" w:cs="Segoe UI"/>
          <w:sz w:val="21"/>
          <w:szCs w:val="21"/>
        </w:rPr>
        <w:t>​</w:t>
      </w:r>
      <w:r w:rsidRPr="00121A46">
        <w:rPr>
          <w:rFonts w:ascii="Segoe UI" w:hAnsi="Segoe UI" w:cs="Segoe UI"/>
          <w:sz w:val="21"/>
          <w:szCs w:val="21"/>
        </w:rPr>
        <w:t>注意林德的角色是四种里最小的：只建一座</w:t>
      </w:r>
      <w:r w:rsidRPr="00121A46">
        <w:rPr>
          <w:rFonts w:ascii="Segoe UI" w:hAnsi="Segoe UI" w:cs="Segoe UI"/>
          <w:sz w:val="21"/>
          <w:szCs w:val="21"/>
        </w:rPr>
        <w:t xml:space="preserve"> &gt;$4 </w:t>
      </w:r>
      <w:r w:rsidRPr="00121A46">
        <w:rPr>
          <w:rFonts w:ascii="Segoe UI" w:hAnsi="Segoe UI" w:cs="Segoe UI"/>
          <w:sz w:val="21"/>
          <w:szCs w:val="21"/>
        </w:rPr>
        <w:t>亿的</w:t>
      </w:r>
      <w:r w:rsidRPr="00121A46">
        <w:rPr>
          <w:rFonts w:ascii="Segoe UI" w:hAnsi="Segoe UI" w:cs="Segoe UI"/>
          <w:sz w:val="21"/>
          <w:szCs w:val="21"/>
        </w:rPr>
        <w:t xml:space="preserve"> ASU </w:t>
      </w:r>
      <w:r w:rsidRPr="00121A46">
        <w:rPr>
          <w:rFonts w:ascii="Segoe UI" w:hAnsi="Segoe UI" w:cs="Segoe UI"/>
          <w:sz w:val="21"/>
          <w:szCs w:val="21"/>
        </w:rPr>
        <w:t>供氧氮，</w:t>
      </w:r>
      <w:r w:rsidRPr="00121A46">
        <w:rPr>
          <w:rFonts w:ascii="Segoe UI" w:hAnsi="Segoe UI" w:cs="Segoe UI"/>
          <w:sz w:val="21"/>
          <w:szCs w:val="21"/>
        </w:rPr>
        <w:t xml:space="preserve">ATR </w:t>
      </w:r>
      <w:r w:rsidRPr="00121A46">
        <w:rPr>
          <w:rFonts w:ascii="Segoe UI" w:hAnsi="Segoe UI" w:cs="Segoe UI"/>
          <w:sz w:val="21"/>
          <w:szCs w:val="21"/>
        </w:rPr>
        <w:t>制氢由</w:t>
      </w:r>
      <w:r w:rsidRPr="00121A46">
        <w:rPr>
          <w:rFonts w:ascii="Segoe UI" w:hAnsi="Segoe UI" w:cs="Segoe UI"/>
          <w:sz w:val="21"/>
          <w:szCs w:val="21"/>
        </w:rPr>
        <w:t xml:space="preserve"> CF </w:t>
      </w:r>
      <w:r w:rsidRPr="00121A46">
        <w:rPr>
          <w:rFonts w:ascii="Segoe UI" w:hAnsi="Segoe UI" w:cs="Segoe UI"/>
          <w:sz w:val="21"/>
          <w:szCs w:val="21"/>
        </w:rPr>
        <w:t>自建，所以这是</w:t>
      </w:r>
      <w:r w:rsidRPr="00121A46">
        <w:rPr>
          <w:rFonts w:ascii="Segoe UI" w:hAnsi="Segoe UI" w:cs="Segoe UI"/>
          <w:sz w:val="21"/>
          <w:szCs w:val="21"/>
        </w:rPr>
        <w:t>"</w:t>
      </w:r>
      <w:r w:rsidRPr="00121A46">
        <w:rPr>
          <w:rFonts w:ascii="Segoe UI" w:hAnsi="Segoe UI" w:cs="Segoe UI"/>
          <w:sz w:val="21"/>
          <w:szCs w:val="21"/>
        </w:rPr>
        <w:t>配套气体供应商</w:t>
      </w:r>
      <w:r w:rsidRPr="00121A46">
        <w:rPr>
          <w:rFonts w:ascii="Segoe UI" w:hAnsi="Segoe UI" w:cs="Segoe UI"/>
          <w:sz w:val="21"/>
          <w:szCs w:val="21"/>
        </w:rPr>
        <w:t>"</w:t>
      </w:r>
      <w:r w:rsidRPr="00121A46">
        <w:rPr>
          <w:rFonts w:ascii="Segoe UI" w:hAnsi="Segoe UI" w:cs="Segoe UI"/>
          <w:sz w:val="21"/>
          <w:szCs w:val="21"/>
        </w:rPr>
        <w:t>，风险与上行都最小。氨的去向：</w:t>
      </w:r>
      <w:r w:rsidRPr="00121A46">
        <w:rPr>
          <w:rFonts w:ascii="Segoe UI" w:hAnsi="Segoe UI" w:cs="Segoe UI"/>
          <w:sz w:val="21"/>
          <w:szCs w:val="21"/>
        </w:rPr>
        <w:t xml:space="preserve">JERA </w:t>
      </w:r>
      <w:r w:rsidRPr="00121A46">
        <w:rPr>
          <w:rFonts w:ascii="Segoe UI" w:hAnsi="Segoe UI" w:cs="Segoe UI"/>
          <w:sz w:val="21"/>
          <w:szCs w:val="21"/>
        </w:rPr>
        <w:t>供日本碧南电厂掺烧，</w:t>
      </w:r>
      <w:r w:rsidRPr="00121A46">
        <w:rPr>
          <w:rFonts w:ascii="Segoe UI" w:hAnsi="Segoe UI" w:cs="Segoe UI"/>
          <w:sz w:val="21"/>
          <w:szCs w:val="21"/>
        </w:rPr>
        <w:t xml:space="preserve">Mitsui </w:t>
      </w:r>
      <w:r w:rsidRPr="00121A46">
        <w:rPr>
          <w:rFonts w:ascii="Segoe UI" w:hAnsi="Segoe UI" w:cs="Segoe UI"/>
          <w:sz w:val="21"/>
          <w:szCs w:val="21"/>
        </w:rPr>
        <w:t>供北海道电力等。</w:t>
      </w:r>
    </w:p>
    <w:p w14:paraId="115BD099"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Dow Path2Zero——</w:t>
      </w:r>
      <w:r w:rsidRPr="00121A46">
        <w:rPr>
          <w:rFonts w:ascii="Segoe UI" w:hAnsi="Segoe UI" w:cs="Segoe UI"/>
          <w:sz w:val="21"/>
          <w:szCs w:val="21"/>
        </w:rPr>
        <w:t>陶氏在</w:t>
      </w:r>
      <w:r w:rsidRPr="00121A46">
        <w:rPr>
          <w:rFonts w:ascii="Segoe UI" w:hAnsi="Segoe UI" w:cs="Segoe UI"/>
          <w:sz w:val="21"/>
          <w:szCs w:val="21"/>
        </w:rPr>
        <w:t xml:space="preserve"> Alberta </w:t>
      </w:r>
      <w:r w:rsidRPr="00121A46">
        <w:rPr>
          <w:rFonts w:ascii="Segoe UI" w:hAnsi="Segoe UI" w:cs="Segoe UI"/>
          <w:sz w:val="21"/>
          <w:szCs w:val="21"/>
        </w:rPr>
        <w:t>的全球首个净零</w:t>
      </w:r>
      <w:r w:rsidRPr="00121A46">
        <w:rPr>
          <w:rFonts w:ascii="Segoe UI" w:hAnsi="Segoe UI" w:cs="Segoe UI"/>
          <w:sz w:val="21"/>
          <w:szCs w:val="21"/>
        </w:rPr>
        <w:t xml:space="preserve"> Scope 1&amp;2 </w:t>
      </w:r>
      <w:r w:rsidRPr="00121A46">
        <w:rPr>
          <w:rFonts w:ascii="Segoe UI" w:hAnsi="Segoe UI" w:cs="Segoe UI"/>
          <w:sz w:val="21"/>
          <w:szCs w:val="21"/>
        </w:rPr>
        <w:t>乙烯裂解及衍生物综合体（陶氏投资</w:t>
      </w:r>
      <w:r w:rsidRPr="00121A46">
        <w:rPr>
          <w:rFonts w:ascii="Segoe UI" w:hAnsi="Segoe UI" w:cs="Segoe UI"/>
          <w:sz w:val="21"/>
          <w:szCs w:val="21"/>
        </w:rPr>
        <w:t xml:space="preserve"> $65 </w:t>
      </w:r>
      <w:r w:rsidRPr="00121A46">
        <w:rPr>
          <w:rFonts w:ascii="Segoe UI" w:hAnsi="Segoe UI" w:cs="Segoe UI"/>
          <w:sz w:val="21"/>
          <w:szCs w:val="21"/>
        </w:rPr>
        <w:t>亿，</w:t>
      </w:r>
      <w:r w:rsidRPr="00121A46">
        <w:rPr>
          <w:rFonts w:ascii="Segoe UI" w:hAnsi="Segoe UI" w:cs="Segoe UI"/>
          <w:sz w:val="21"/>
          <w:szCs w:val="21"/>
        </w:rPr>
        <w:t>2027</w:t>
      </w:r>
      <w:r w:rsidRPr="00121A46">
        <w:rPr>
          <w:rFonts w:ascii="Segoe UI" w:hAnsi="Segoe UI" w:cs="Segoe UI"/>
          <w:sz w:val="21"/>
          <w:szCs w:val="21"/>
        </w:rPr>
        <w:t>／</w:t>
      </w:r>
      <w:r w:rsidRPr="00121A46">
        <w:rPr>
          <w:rFonts w:ascii="Segoe UI" w:hAnsi="Segoe UI" w:cs="Segoe UI"/>
          <w:sz w:val="21"/>
          <w:szCs w:val="21"/>
        </w:rPr>
        <w:t xml:space="preserve">2029 </w:t>
      </w:r>
      <w:r w:rsidRPr="00121A46">
        <w:rPr>
          <w:rFonts w:ascii="Segoe UI" w:hAnsi="Segoe UI" w:cs="Segoe UI"/>
          <w:sz w:val="21"/>
          <w:szCs w:val="21"/>
        </w:rPr>
        <w:t>分阶段投产）。林德投资</w:t>
      </w:r>
      <w:r w:rsidRPr="00121A46">
        <w:rPr>
          <w:rFonts w:ascii="Segoe UI" w:hAnsi="Segoe UI" w:cs="Segoe UI"/>
          <w:sz w:val="21"/>
          <w:szCs w:val="21"/>
        </w:rPr>
        <w:t xml:space="preserve"> &gt;$20 </w:t>
      </w:r>
      <w:r w:rsidRPr="00121A46">
        <w:rPr>
          <w:rFonts w:ascii="Segoe UI" w:hAnsi="Segoe UI" w:cs="Segoe UI"/>
          <w:sz w:val="21"/>
          <w:szCs w:val="21"/>
        </w:rPr>
        <w:t>亿为其配套：</w:t>
      </w:r>
      <w:r w:rsidRPr="00121A46">
        <w:rPr>
          <w:rFonts w:ascii="Segoe UI" w:hAnsi="Segoe UI" w:cs="Segoe UI"/>
          <w:sz w:val="21"/>
          <w:szCs w:val="21"/>
        </w:rPr>
        <w:t xml:space="preserve">ATR + </w:t>
      </w:r>
      <w:r w:rsidRPr="00121A46">
        <w:rPr>
          <w:rFonts w:ascii="Segoe UI" w:hAnsi="Segoe UI" w:cs="Segoe UI"/>
          <w:sz w:val="21"/>
          <w:szCs w:val="21"/>
        </w:rPr>
        <w:t>林德专有</w:t>
      </w:r>
      <w:r w:rsidRPr="00121A46">
        <w:rPr>
          <w:rFonts w:ascii="Segoe UI" w:hAnsi="Segoe UI" w:cs="Segoe UI"/>
          <w:sz w:val="21"/>
          <w:szCs w:val="21"/>
        </w:rPr>
        <w:t> HISORP® </w:t>
      </w:r>
      <w:r w:rsidRPr="00121A46">
        <w:rPr>
          <w:rFonts w:ascii="Segoe UI" w:hAnsi="Segoe UI" w:cs="Segoe UI"/>
          <w:sz w:val="21"/>
          <w:szCs w:val="21"/>
        </w:rPr>
        <w:t>碳捕集，年捕集封存</w:t>
      </w:r>
      <w:r w:rsidRPr="00121A46">
        <w:rPr>
          <w:rFonts w:ascii="Segoe UI" w:hAnsi="Segoe UI" w:cs="Segoe UI"/>
          <w:sz w:val="21"/>
          <w:szCs w:val="21"/>
        </w:rPr>
        <w:t xml:space="preserve"> CO₂ &gt;200 </w:t>
      </w:r>
      <w:r w:rsidRPr="00121A46">
        <w:rPr>
          <w:rFonts w:ascii="Segoe UI" w:hAnsi="Segoe UI" w:cs="Segoe UI"/>
          <w:sz w:val="21"/>
          <w:szCs w:val="21"/>
        </w:rPr>
        <w:t>万吨，</w:t>
      </w:r>
      <w:r w:rsidRPr="00121A46">
        <w:rPr>
          <w:rFonts w:ascii="Segoe UI" w:hAnsi="Segoe UI" w:cs="Segoe UI"/>
          <w:sz w:val="21"/>
          <w:szCs w:val="21"/>
        </w:rPr>
        <w:t xml:space="preserve">2028 </w:t>
      </w:r>
      <w:r w:rsidRPr="00121A46">
        <w:rPr>
          <w:rFonts w:ascii="Segoe UI" w:hAnsi="Segoe UI" w:cs="Segoe UI"/>
          <w:sz w:val="21"/>
          <w:szCs w:val="21"/>
        </w:rPr>
        <w:t>完工后为加拿大最大清洁氢设施，也是林德史上最大单笔投资。</w:t>
      </w:r>
    </w:p>
    <w:p w14:paraId="4DDE5984" w14:textId="77777777" w:rsidR="00350A5F" w:rsidRPr="00121A46" w:rsidRDefault="00350A5F" w:rsidP="00132B67"/>
    <w:p w14:paraId="406E5D71" w14:textId="7B9C0859" w:rsidR="00D81FCF" w:rsidRDefault="00D81FCF" w:rsidP="00D90CFB">
      <w:pPr>
        <w:pStyle w:val="2"/>
      </w:pPr>
      <w:r>
        <w:rPr>
          <w:rFonts w:hint="eastAsia"/>
        </w:rPr>
        <w:t>竞争</w:t>
      </w:r>
    </w:p>
    <w:p w14:paraId="588D5AAD" w14:textId="08482928" w:rsidR="003F0C0D" w:rsidRDefault="003F0C0D" w:rsidP="003F0C0D">
      <w:pPr>
        <w:pStyle w:val="ae"/>
      </w:pPr>
      <w:r>
        <w:t>工业气体行业是全球最典型的</w:t>
      </w:r>
      <w:r w:rsidRPr="003F0C0D">
        <w:rPr>
          <w:rStyle w:val="af"/>
          <w:b w:val="0"/>
          <w:bCs w:val="0"/>
        </w:rPr>
        <w:t>寡头垄断</w:t>
      </w:r>
      <w:r>
        <w:t>行业之一：</w:t>
      </w:r>
    </w:p>
    <w:p w14:paraId="41DC965C" w14:textId="77777777" w:rsidR="003F0C0D" w:rsidRDefault="003F0C0D" w:rsidP="003F0C0D">
      <w:pPr>
        <w:numPr>
          <w:ilvl w:val="0"/>
          <w:numId w:val="29"/>
        </w:numPr>
        <w:spacing w:before="100" w:beforeAutospacing="1" w:after="100" w:afterAutospacing="1"/>
      </w:pPr>
      <w:r w:rsidRPr="003F0C0D">
        <w:rPr>
          <w:rStyle w:val="af"/>
          <w:b w:val="0"/>
          <w:bCs w:val="0"/>
        </w:rPr>
        <w:t>全球市场规模</w:t>
      </w:r>
      <w:r>
        <w:t>：约$1,200亿（2025年），预计2035年达$2,090亿，CAGR ~5.7%</w:t>
      </w:r>
    </w:p>
    <w:p w14:paraId="46811665" w14:textId="77777777" w:rsidR="003F0C0D" w:rsidRDefault="003F0C0D" w:rsidP="003F0C0D">
      <w:pPr>
        <w:numPr>
          <w:ilvl w:val="0"/>
          <w:numId w:val="29"/>
        </w:numPr>
        <w:spacing w:before="100" w:beforeAutospacing="1" w:after="100" w:afterAutospacing="1"/>
      </w:pPr>
      <w:r w:rsidRPr="003F0C0D">
        <w:rPr>
          <w:rStyle w:val="af"/>
          <w:b w:val="0"/>
          <w:bCs w:val="0"/>
        </w:rPr>
        <w:t>集中度</w:t>
      </w:r>
      <w:r>
        <w:t xml:space="preserve">：前5家企业占 </w:t>
      </w:r>
      <w:r>
        <w:rPr>
          <w:rStyle w:val="af"/>
        </w:rPr>
        <w:t>~80-84%</w:t>
      </w:r>
      <w:r>
        <w:t xml:space="preserve"> 市场份额，HHI指数约1,800（高集中度）</w:t>
      </w:r>
    </w:p>
    <w:p w14:paraId="61450BC3" w14:textId="77777777" w:rsidR="003F0C0D" w:rsidRDefault="003F0C0D" w:rsidP="003F0C0D">
      <w:pPr>
        <w:numPr>
          <w:ilvl w:val="0"/>
          <w:numId w:val="29"/>
        </w:numPr>
        <w:spacing w:before="100" w:beforeAutospacing="1" w:after="100" w:afterAutospacing="1"/>
      </w:pPr>
      <w:r w:rsidRPr="003F0C0D">
        <w:rPr>
          <w:rStyle w:val="af"/>
          <w:b w:val="0"/>
          <w:bCs w:val="0"/>
        </w:rPr>
        <w:t>前3家</w:t>
      </w:r>
      <w:r>
        <w:t xml:space="preserve">（Linde + Air Liquide + Air Products）占 </w:t>
      </w:r>
      <w:r w:rsidRPr="003F0C0D">
        <w:rPr>
          <w:rStyle w:val="af"/>
          <w:b w:val="0"/>
          <w:bCs w:val="0"/>
        </w:rPr>
        <w:t>~55-60%</w:t>
      </w:r>
    </w:p>
    <w:p w14:paraId="6A906E00" w14:textId="48B77AA4" w:rsidR="00413324" w:rsidRDefault="00912B9A" w:rsidP="00132B67">
      <w:r w:rsidRPr="00912B9A">
        <w:rPr>
          <w:noProof/>
        </w:rPr>
        <w:drawing>
          <wp:inline distT="0" distB="0" distL="0" distR="0" wp14:anchorId="41E8C483" wp14:editId="4F4B84B3">
            <wp:extent cx="6645910" cy="2215515"/>
            <wp:effectExtent l="0" t="0" r="0" b="0"/>
            <wp:docPr id="743855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5533" name=""/>
                    <pic:cNvPicPr/>
                  </pic:nvPicPr>
                  <pic:blipFill>
                    <a:blip r:embed="rId25"/>
                    <a:stretch>
                      <a:fillRect/>
                    </a:stretch>
                  </pic:blipFill>
                  <pic:spPr>
                    <a:xfrm>
                      <a:off x="0" y="0"/>
                      <a:ext cx="6645910" cy="2215515"/>
                    </a:xfrm>
                    <a:prstGeom prst="rect">
                      <a:avLst/>
                    </a:prstGeom>
                  </pic:spPr>
                </pic:pic>
              </a:graphicData>
            </a:graphic>
          </wp:inline>
        </w:drawing>
      </w:r>
    </w:p>
    <w:p w14:paraId="4814482C" w14:textId="224CEB7D" w:rsidR="008273E5" w:rsidRDefault="001071F2" w:rsidP="00490C19">
      <w:pPr>
        <w:pStyle w:val="3"/>
      </w:pPr>
      <w:r>
        <w:t>竞争对手</w:t>
      </w:r>
    </w:p>
    <w:p w14:paraId="1AC9BFD7" w14:textId="41C7BAE5" w:rsidR="008273E5" w:rsidRPr="00027B84" w:rsidRDefault="00027B84" w:rsidP="00132B67">
      <w:pPr>
        <w:rPr>
          <w:b/>
          <w:bCs/>
        </w:rPr>
      </w:pPr>
      <w:r w:rsidRPr="00027B84">
        <w:rPr>
          <w:b/>
          <w:bCs/>
        </w:rPr>
        <w:t>Air Liquide（法国液化空气</w:t>
      </w:r>
      <w:r>
        <w:rPr>
          <w:rFonts w:hint="eastAsia"/>
          <w:b/>
          <w:bCs/>
        </w:rPr>
        <w:t>）</w:t>
      </w:r>
    </w:p>
    <w:p w14:paraId="7A254ED0" w14:textId="1A48C74B" w:rsidR="0082146F" w:rsidRDefault="003F6146" w:rsidP="00132B67">
      <w:r w:rsidRPr="003F6146">
        <w:rPr>
          <w:noProof/>
        </w:rPr>
        <w:lastRenderedPageBreak/>
        <w:drawing>
          <wp:inline distT="0" distB="0" distL="0" distR="0" wp14:anchorId="75124A7B" wp14:editId="6DD4E80B">
            <wp:extent cx="6645910" cy="2376170"/>
            <wp:effectExtent l="0" t="0" r="0" b="0"/>
            <wp:docPr id="212014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0821" name=""/>
                    <pic:cNvPicPr/>
                  </pic:nvPicPr>
                  <pic:blipFill>
                    <a:blip r:embed="rId26"/>
                    <a:stretch>
                      <a:fillRect/>
                    </a:stretch>
                  </pic:blipFill>
                  <pic:spPr>
                    <a:xfrm>
                      <a:off x="0" y="0"/>
                      <a:ext cx="6645910" cy="2376170"/>
                    </a:xfrm>
                    <a:prstGeom prst="rect">
                      <a:avLst/>
                    </a:prstGeom>
                  </pic:spPr>
                </pic:pic>
              </a:graphicData>
            </a:graphic>
          </wp:inline>
        </w:drawing>
      </w:r>
    </w:p>
    <w:p w14:paraId="135DF9D0" w14:textId="0DAD5AC2" w:rsidR="000C5FDD" w:rsidRDefault="00757821" w:rsidP="00132B67">
      <w:r>
        <w:t>真正的宿敌</w:t>
      </w:r>
      <w:r>
        <w:rPr>
          <w:rFonts w:hint="eastAsia"/>
        </w:rPr>
        <w:t>，</w:t>
      </w:r>
      <w:r w:rsidR="000C5FDD">
        <w:t>这是林德唯一一个</w:t>
      </w:r>
      <w:r w:rsidR="000C5FDD">
        <w:rPr>
          <w:rStyle w:val="af"/>
        </w:rPr>
        <w:t>全维度、全区域、全品类</w:t>
      </w:r>
      <w:r w:rsidR="000C5FDD">
        <w:t>的正面竞争对手。</w:t>
      </w:r>
    </w:p>
    <w:p w14:paraId="182D8868" w14:textId="77777777" w:rsidR="000C5FDD" w:rsidRDefault="000C5FDD" w:rsidP="000C5FDD">
      <w:r>
        <w:rPr>
          <w:rFonts w:hAnsi="Symbol"/>
        </w:rPr>
        <w:t></w:t>
      </w:r>
      <w:r>
        <w:t xml:space="preserve">  </w:t>
      </w:r>
      <w:r>
        <w:rPr>
          <w:rStyle w:val="af"/>
        </w:rPr>
        <w:t>规模对等</w:t>
      </w:r>
      <w:r>
        <w:t>：唯二的$30B+级工业气体公司，合计占全球50%+份额</w:t>
      </w:r>
    </w:p>
    <w:p w14:paraId="25D6C08B" w14:textId="77777777" w:rsidR="000C5FDD" w:rsidRDefault="000C5FDD" w:rsidP="000C5FDD">
      <w:r>
        <w:rPr>
          <w:rFonts w:hAnsi="Symbol"/>
        </w:rPr>
        <w:t></w:t>
      </w:r>
      <w:r>
        <w:t xml:space="preserve">  </w:t>
      </w:r>
      <w:r>
        <w:rPr>
          <w:rStyle w:val="af"/>
        </w:rPr>
        <w:t>地理重叠度最高</w:t>
      </w:r>
      <w:r>
        <w:t>：欧洲（鲁尔区、法国工业带）、北美（Gulf Coast）、亚洲全面交锋</w:t>
      </w:r>
    </w:p>
    <w:p w14:paraId="3AA56844" w14:textId="77777777" w:rsidR="000C5FDD" w:rsidRDefault="000C5FDD" w:rsidP="000C5FDD">
      <w:r>
        <w:rPr>
          <w:rFonts w:hAnsi="Symbol"/>
        </w:rPr>
        <w:t></w:t>
      </w:r>
      <w:r>
        <w:t xml:space="preserve">  </w:t>
      </w:r>
      <w:r>
        <w:rPr>
          <w:rStyle w:val="af"/>
        </w:rPr>
        <w:t>业务结构几乎相同</w:t>
      </w:r>
      <w:r>
        <w:t>：大宗气体on-site供应、管道网络、packaged gas、电子特气、医疗气体、工程服务</w:t>
      </w:r>
    </w:p>
    <w:p w14:paraId="769DD563" w14:textId="77777777" w:rsidR="000C5FDD" w:rsidRDefault="000C5FDD" w:rsidP="000C5FDD">
      <w:r>
        <w:rPr>
          <w:rFonts w:hAnsi="Symbol"/>
        </w:rPr>
        <w:t></w:t>
      </w:r>
      <w:r>
        <w:t xml:space="preserve">  </w:t>
      </w:r>
      <w:r>
        <w:rPr>
          <w:rStyle w:val="af"/>
        </w:rPr>
        <w:t>都在抢氢能赛道</w:t>
      </w:r>
      <w:r>
        <w:t>：Air Liquide在Gulf Coast有</w:t>
      </w:r>
      <w:r w:rsidRPr="00567200">
        <w:rPr>
          <w:rStyle w:val="af"/>
          <w:b w:val="0"/>
          <w:bCs w:val="0"/>
        </w:rPr>
        <w:t>330英里氢气管道</w:t>
      </w:r>
      <w:r>
        <w:t>加Spindletop地下盐穴储氢，林德在此区域管道反而较短</w:t>
      </w:r>
    </w:p>
    <w:p w14:paraId="154271F9" w14:textId="20102B41" w:rsidR="000C5FDD" w:rsidRDefault="000C5FDD" w:rsidP="000C5FDD">
      <w:r>
        <w:rPr>
          <w:rFonts w:hAnsi="Symbol"/>
        </w:rPr>
        <w:t></w:t>
      </w:r>
      <w:r>
        <w:t xml:space="preserve">  </w:t>
      </w:r>
      <w:r>
        <w:rPr>
          <w:rStyle w:val="af"/>
        </w:rPr>
        <w:t>合同争夺</w:t>
      </w:r>
      <w:r>
        <w:t>：15-20年Take-or-Pay合同到期后的续签和争夺是两家最核心的竞争场景</w:t>
      </w:r>
    </w:p>
    <w:p w14:paraId="15249C4D" w14:textId="77777777" w:rsidR="0082146F" w:rsidRDefault="0082146F" w:rsidP="00132B67">
      <w:pPr>
        <w:rPr>
          <w:rFonts w:hAnsi="Symbol" w:hint="eastAsia"/>
        </w:rPr>
      </w:pPr>
    </w:p>
    <w:p w14:paraId="586B0375" w14:textId="000283A0" w:rsidR="000C5FDD" w:rsidRDefault="00E30B01" w:rsidP="00132B67">
      <w:pPr>
        <w:rPr>
          <w:rFonts w:hAnsi="Symbol" w:hint="eastAsia"/>
        </w:rPr>
      </w:pPr>
      <w:r>
        <w:rPr>
          <w:rFonts w:hint="eastAsia"/>
        </w:rPr>
        <w:t>但竞争形态是寡头共存</w:t>
      </w:r>
      <w:r>
        <w:t>——在任何一个工业集群，一旦建了管道、签了长约，对手几乎不可能把你替换掉。所以竞争的焦点是</w:t>
      </w:r>
      <w:r w:rsidRPr="007F373B">
        <w:rPr>
          <w:rStyle w:val="af"/>
          <w:b w:val="0"/>
          <w:bCs w:val="0"/>
        </w:rPr>
        <w:t>新增产能的争夺</w:t>
      </w:r>
      <w:r>
        <w:t>（谁拿到新建工厂旁边的供气合同），而非抢夺对方存量客户。</w:t>
      </w:r>
    </w:p>
    <w:p w14:paraId="713982D5" w14:textId="77777777" w:rsidR="000C5FDD" w:rsidRDefault="000C5FDD" w:rsidP="00132B67"/>
    <w:p w14:paraId="20CEDB28" w14:textId="3453B110" w:rsidR="008273E5" w:rsidRPr="002C0B9C" w:rsidRDefault="002C0B9C" w:rsidP="00132B67">
      <w:pPr>
        <w:rPr>
          <w:b/>
          <w:bCs/>
        </w:rPr>
      </w:pPr>
      <w:r w:rsidRPr="002C0B9C">
        <w:rPr>
          <w:b/>
          <w:bCs/>
        </w:rPr>
        <w:t>Air Products（美国空气化工）</w:t>
      </w:r>
    </w:p>
    <w:p w14:paraId="3A5E9FFB" w14:textId="0EAE11D4" w:rsidR="00413324" w:rsidRDefault="000A1ACB" w:rsidP="00132B67">
      <w:r w:rsidRPr="000A1ACB">
        <w:rPr>
          <w:noProof/>
        </w:rPr>
        <w:drawing>
          <wp:inline distT="0" distB="0" distL="0" distR="0" wp14:anchorId="46EEA617" wp14:editId="06A9C9E9">
            <wp:extent cx="6645910" cy="2063750"/>
            <wp:effectExtent l="0" t="0" r="0" b="6350"/>
            <wp:docPr id="136508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9906" name=""/>
                    <pic:cNvPicPr/>
                  </pic:nvPicPr>
                  <pic:blipFill>
                    <a:blip r:embed="rId27"/>
                    <a:stretch>
                      <a:fillRect/>
                    </a:stretch>
                  </pic:blipFill>
                  <pic:spPr>
                    <a:xfrm>
                      <a:off x="0" y="0"/>
                      <a:ext cx="6645910" cy="2063750"/>
                    </a:xfrm>
                    <a:prstGeom prst="rect">
                      <a:avLst/>
                    </a:prstGeom>
                  </pic:spPr>
                </pic:pic>
              </a:graphicData>
            </a:graphic>
          </wp:inline>
        </w:drawing>
      </w:r>
    </w:p>
    <w:p w14:paraId="67A9FF8D" w14:textId="2B73BE58" w:rsidR="00E76FE4" w:rsidRDefault="00757821" w:rsidP="00132B67">
      <w:pPr>
        <w:rPr>
          <w:rFonts w:hAnsi="Symbol" w:hint="eastAsia"/>
        </w:rPr>
      </w:pPr>
      <w:r>
        <w:t>战略分化的前对手</w:t>
      </w:r>
      <w:r>
        <w:rPr>
          <w:rFonts w:hint="eastAsia"/>
        </w:rPr>
        <w:t>，</w:t>
      </w:r>
      <w:r w:rsidR="0043424F" w:rsidRPr="0043424F">
        <w:rPr>
          <w:rFonts w:hAnsi="Symbol"/>
        </w:rPr>
        <w:t>竞争关系正在弱化，因为APD自己在"转向"</w:t>
      </w:r>
      <w:r w:rsidR="0043424F">
        <w:rPr>
          <w:rFonts w:hAnsi="Symbol" w:hint="eastAsia"/>
        </w:rPr>
        <w:t>。</w:t>
      </w:r>
    </w:p>
    <w:p w14:paraId="2FC60345" w14:textId="238A466C" w:rsidR="0043424F" w:rsidRDefault="00814933" w:rsidP="00132B67">
      <w:pPr>
        <w:rPr>
          <w:rFonts w:hAnsi="Symbol" w:hint="eastAsia"/>
        </w:rPr>
      </w:pPr>
      <w:r>
        <w:t>长期CEO Seifi Ghasemi（80岁）2025年1月被激进投资者Mantle Ridge联合股东投票赶下台</w:t>
      </w:r>
      <w:r>
        <w:rPr>
          <w:rFonts w:hint="eastAsia"/>
        </w:rPr>
        <w:t>，</w:t>
      </w:r>
      <w:r>
        <w:t xml:space="preserve">新任CEO </w:t>
      </w:r>
      <w:r w:rsidRPr="00814933">
        <w:rPr>
          <w:rStyle w:val="af"/>
          <w:b w:val="0"/>
          <w:bCs w:val="0"/>
        </w:rPr>
        <w:t>Eduardo Menezes</w:t>
      </w:r>
      <w:r>
        <w:t>是</w:t>
      </w:r>
      <w:r w:rsidRPr="00814933">
        <w:rPr>
          <w:rStyle w:val="af"/>
          <w:b w:val="0"/>
          <w:bCs w:val="0"/>
        </w:rPr>
        <w:t>林德/Praxair的前高管</w:t>
      </w:r>
      <w:r w:rsidR="00615B81">
        <w:rPr>
          <w:rStyle w:val="af"/>
          <w:rFonts w:hint="eastAsia"/>
          <w:b w:val="0"/>
          <w:bCs w:val="0"/>
        </w:rPr>
        <w:t>。</w:t>
      </w:r>
    </w:p>
    <w:p w14:paraId="1C818885" w14:textId="16207ABD" w:rsidR="00D704C8" w:rsidRDefault="00615B81" w:rsidP="00132B67">
      <w:pPr>
        <w:rPr>
          <w:rFonts w:hAnsi="Symbol" w:hint="eastAsia"/>
        </w:rPr>
      </w:pPr>
      <w:r>
        <w:t>新管理层大幅砍掉Ghasemi时代的绿氢mega-project战略：砍掉纽约绿氢厂、加州SAF供氢协议、德州CO工厂，计提</w:t>
      </w:r>
      <w:r w:rsidRPr="00E17336">
        <w:rPr>
          <w:rStyle w:val="af"/>
          <w:b w:val="0"/>
          <w:bCs w:val="0"/>
        </w:rPr>
        <w:t>$31亿减值</w:t>
      </w:r>
      <w:r w:rsidR="00021580" w:rsidRPr="00021580">
        <w:rPr>
          <w:rFonts w:hint="eastAsia"/>
        </w:rPr>
        <w:t>，</w:t>
      </w:r>
      <w:r w:rsidR="00021580">
        <w:t>NEOM绿氢项目（沙特，$84亿，2GW+）已完工90%，继续推进，预计2026-2027投产</w:t>
      </w:r>
      <w:r w:rsidR="00576F28">
        <w:rPr>
          <w:rFonts w:hint="eastAsia"/>
        </w:rPr>
        <w:t>。</w:t>
      </w:r>
    </w:p>
    <w:p w14:paraId="0C393C14" w14:textId="464D4A32" w:rsidR="00E0093A" w:rsidRPr="002313A8" w:rsidRDefault="00E0093A" w:rsidP="00132B67">
      <w:pPr>
        <w:rPr>
          <w:rFonts w:hAnsi="Symbol" w:hint="eastAsia"/>
        </w:rPr>
      </w:pPr>
      <w:r>
        <w:t>新管理层正在推动"回归核心工业气体"+ 利润率改善，战略上从与林德差异化竞争转向</w:t>
      </w:r>
      <w:r w:rsidRPr="00E0093A">
        <w:rPr>
          <w:rStyle w:val="af"/>
          <w:b w:val="0"/>
          <w:bCs w:val="0"/>
        </w:rPr>
        <w:t>模仿林德的运营模式</w:t>
      </w:r>
      <w:r>
        <w:t>。短期内APD忙于内部整顿，对林德的竞争压力反而减轻。</w:t>
      </w:r>
    </w:p>
    <w:p w14:paraId="7218ABD2" w14:textId="77777777" w:rsidR="00E0093A" w:rsidRDefault="00E0093A" w:rsidP="00132B67"/>
    <w:p w14:paraId="296571FA" w14:textId="5D93614A" w:rsidR="00E76FE4" w:rsidRPr="00E76FE4" w:rsidRDefault="00E76FE4" w:rsidP="00132B67">
      <w:pPr>
        <w:rPr>
          <w:b/>
          <w:bCs/>
        </w:rPr>
      </w:pPr>
      <w:r w:rsidRPr="00E76FE4">
        <w:rPr>
          <w:b/>
          <w:bCs/>
        </w:rPr>
        <w:t>Nippon Sanso（日本酸素）</w:t>
      </w:r>
    </w:p>
    <w:p w14:paraId="5AEAEB6F" w14:textId="26510C8A" w:rsidR="00E76FE4" w:rsidRDefault="00E76FE4" w:rsidP="00132B67">
      <w:r w:rsidRPr="00E76FE4">
        <w:rPr>
          <w:noProof/>
        </w:rPr>
        <w:lastRenderedPageBreak/>
        <w:drawing>
          <wp:inline distT="0" distB="0" distL="0" distR="0" wp14:anchorId="0E5AD3B7" wp14:editId="347B27D4">
            <wp:extent cx="6645910" cy="2064385"/>
            <wp:effectExtent l="0" t="0" r="0" b="5715"/>
            <wp:docPr id="31042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6386" name=""/>
                    <pic:cNvPicPr/>
                  </pic:nvPicPr>
                  <pic:blipFill>
                    <a:blip r:embed="rId28"/>
                    <a:stretch>
                      <a:fillRect/>
                    </a:stretch>
                  </pic:blipFill>
                  <pic:spPr>
                    <a:xfrm>
                      <a:off x="0" y="0"/>
                      <a:ext cx="6645910" cy="2064385"/>
                    </a:xfrm>
                    <a:prstGeom prst="rect">
                      <a:avLst/>
                    </a:prstGeom>
                  </pic:spPr>
                </pic:pic>
              </a:graphicData>
            </a:graphic>
          </wp:inline>
        </w:drawing>
      </w:r>
    </w:p>
    <w:p w14:paraId="7F1989C9" w14:textId="7ECA6C75" w:rsidR="00E76FE4" w:rsidRDefault="00570AA7" w:rsidP="00132B67">
      <w:r w:rsidRPr="00570AA7">
        <w:t>竞争范围有限，但在特定市场有摩擦</w:t>
      </w:r>
      <w:r>
        <w:rPr>
          <w:rFonts w:hint="eastAsia"/>
        </w:rPr>
        <w:t>。</w:t>
      </w:r>
    </w:p>
    <w:p w14:paraId="660EB060" w14:textId="5CC5BDB6" w:rsidR="00570AA7" w:rsidRDefault="007E423B" w:rsidP="00132B67">
      <w:r>
        <w:rPr>
          <w:rFonts w:hint="eastAsia"/>
        </w:rPr>
        <w:t>核心市场是日本国内、东南亚、大洋洲，</w:t>
      </w:r>
      <w:r>
        <w:t>2018年以$58亿收购了Praxair欧洲气体业务（林德-Praxair合并的反垄断剥离资产）</w:t>
      </w:r>
      <w:r>
        <w:rPr>
          <w:rFonts w:hint="eastAsia"/>
        </w:rPr>
        <w:t>。</w:t>
      </w:r>
      <w:r w:rsidR="00721696" w:rsidRPr="00721696">
        <w:t>不构成对林德全球地位的威胁。</w:t>
      </w:r>
    </w:p>
    <w:p w14:paraId="4975AE41" w14:textId="77777777" w:rsidR="00570AA7" w:rsidRPr="00B43EC1" w:rsidRDefault="00570AA7" w:rsidP="00132B67"/>
    <w:p w14:paraId="3A69146A" w14:textId="1F2D1492" w:rsidR="00E76FE4" w:rsidRPr="00B43EC1" w:rsidRDefault="00B43EC1" w:rsidP="00132B67">
      <w:pPr>
        <w:rPr>
          <w:b/>
          <w:bCs/>
        </w:rPr>
      </w:pPr>
      <w:r w:rsidRPr="00B43EC1">
        <w:rPr>
          <w:b/>
          <w:bCs/>
        </w:rPr>
        <w:t>Messer（梅塞尔）</w:t>
      </w:r>
    </w:p>
    <w:p w14:paraId="15CDFB76" w14:textId="4BA65116" w:rsidR="00E76FE4" w:rsidRDefault="00803181" w:rsidP="00132B67">
      <w:r w:rsidRPr="00803181">
        <w:rPr>
          <w:noProof/>
        </w:rPr>
        <w:drawing>
          <wp:inline distT="0" distB="0" distL="0" distR="0" wp14:anchorId="46818DBC" wp14:editId="6007F472">
            <wp:extent cx="6645910" cy="2327275"/>
            <wp:effectExtent l="0" t="0" r="0" b="0"/>
            <wp:docPr id="151444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9095" name=""/>
                    <pic:cNvPicPr/>
                  </pic:nvPicPr>
                  <pic:blipFill>
                    <a:blip r:embed="rId29"/>
                    <a:stretch>
                      <a:fillRect/>
                    </a:stretch>
                  </pic:blipFill>
                  <pic:spPr>
                    <a:xfrm>
                      <a:off x="0" y="0"/>
                      <a:ext cx="6645910" cy="2327275"/>
                    </a:xfrm>
                    <a:prstGeom prst="rect">
                      <a:avLst/>
                    </a:prstGeom>
                  </pic:spPr>
                </pic:pic>
              </a:graphicData>
            </a:graphic>
          </wp:inline>
        </w:drawing>
      </w:r>
    </w:p>
    <w:p w14:paraId="710008E0" w14:textId="07439308" w:rsidR="00E76FE4" w:rsidRDefault="00741009" w:rsidP="00132B67">
      <w:r w:rsidRPr="00741009">
        <w:t>反垄断的"受益者"</w:t>
      </w:r>
      <w:r>
        <w:rPr>
          <w:rFonts w:hint="eastAsia"/>
        </w:rPr>
        <w:t>。</w:t>
      </w:r>
      <w:r>
        <w:t>德国家族企业，全球最大的家族所有工业气体公司</w:t>
      </w:r>
      <w:r>
        <w:rPr>
          <w:rFonts w:hint="eastAsia"/>
        </w:rPr>
        <w:t>。</w:t>
      </w:r>
      <w:r>
        <w:t>2018-2019年与CVC资本合伙以~$29亿收购了林德-Praxair合并剥离的</w:t>
      </w:r>
      <w:r w:rsidRPr="00AA37F8">
        <w:rPr>
          <w:rStyle w:val="af"/>
          <w:b w:val="0"/>
          <w:bCs w:val="0"/>
        </w:rPr>
        <w:t>北美和南美资产</w:t>
      </w:r>
      <w:r>
        <w:t>（45座空分装置、18座CO</w:t>
      </w:r>
      <w:r>
        <w:rPr>
          <w:rFonts w:ascii="Cambria Math" w:hAnsi="Cambria Math" w:cs="Cambria Math"/>
        </w:rPr>
        <w:t>₂</w:t>
      </w:r>
      <w:r>
        <w:t>工厂、12座氦气灌装站等，约5,100名员工，$17亿营收）</w:t>
      </w:r>
    </w:p>
    <w:p w14:paraId="500DEA13" w14:textId="3C359A7D" w:rsidR="00741009" w:rsidRDefault="006556D9" w:rsidP="00132B67">
      <w:r w:rsidRPr="006556D9">
        <w:t>Messer是反垄断监管的产物，在特定区域市场与林德竞争，但不可能威胁林德的全球地位。</w:t>
      </w:r>
    </w:p>
    <w:p w14:paraId="7E72C69A" w14:textId="77777777" w:rsidR="00741009" w:rsidRDefault="00741009" w:rsidP="00132B67"/>
    <w:p w14:paraId="251893D5" w14:textId="652FF377" w:rsidR="00E76FE4" w:rsidRPr="00803181" w:rsidRDefault="00803181" w:rsidP="001071F2">
      <w:pPr>
        <w:pStyle w:val="3"/>
      </w:pPr>
      <w:r w:rsidRPr="00803181">
        <w:t>竞争格局</w:t>
      </w:r>
    </w:p>
    <w:p w14:paraId="08B1D90F" w14:textId="77777777" w:rsidR="00E40504" w:rsidRPr="00E40504" w:rsidRDefault="00E40504" w:rsidP="00E40504">
      <w:pPr>
        <w:rPr>
          <w:b/>
          <w:bCs/>
          <w:sz w:val="20"/>
        </w:rPr>
      </w:pPr>
      <w:r w:rsidRPr="00E40504">
        <w:rPr>
          <w:b/>
          <w:bCs/>
        </w:rPr>
        <w:t>1. "分蛋糕"而非"抢蛋糕"</w:t>
      </w:r>
    </w:p>
    <w:p w14:paraId="29E0DD05" w14:textId="77777777" w:rsidR="00E40504" w:rsidRDefault="00E40504" w:rsidP="00E40504">
      <w:pPr>
        <w:pStyle w:val="ae"/>
      </w:pPr>
      <w:r>
        <w:t>工业气体行业的竞争强度远低于大多数行业：</w:t>
      </w:r>
    </w:p>
    <w:p w14:paraId="328BCC5E" w14:textId="77777777" w:rsidR="00E40504" w:rsidRDefault="00E40504" w:rsidP="00E40504">
      <w:pPr>
        <w:numPr>
          <w:ilvl w:val="0"/>
          <w:numId w:val="30"/>
        </w:numPr>
        <w:spacing w:before="100" w:beforeAutospacing="1" w:after="100" w:afterAutospacing="1"/>
      </w:pPr>
      <w:r>
        <w:rPr>
          <w:rStyle w:val="af"/>
        </w:rPr>
        <w:t>现场供气</w:t>
      </w:r>
      <w:r>
        <w:t>（On-site）：一旦签约15-20年合同+建设管网/ASU，竞争对手几乎不可能夺取客户</w:t>
      </w:r>
    </w:p>
    <w:p w14:paraId="382BEF2E" w14:textId="77777777" w:rsidR="00E40504" w:rsidRDefault="00E40504" w:rsidP="00E40504">
      <w:pPr>
        <w:numPr>
          <w:ilvl w:val="0"/>
          <w:numId w:val="30"/>
        </w:numPr>
        <w:spacing w:before="100" w:beforeAutospacing="1" w:after="100" w:afterAutospacing="1"/>
      </w:pPr>
      <w:r>
        <w:rPr>
          <w:rStyle w:val="af"/>
        </w:rPr>
        <w:t>管网供气</w:t>
      </w:r>
      <w:r>
        <w:t>（Pipeline）：自然垄断属性，同一区域不会有第二套管网</w:t>
      </w:r>
    </w:p>
    <w:p w14:paraId="08837C50" w14:textId="77777777" w:rsidR="00E40504" w:rsidRDefault="00E40504" w:rsidP="00E40504">
      <w:pPr>
        <w:numPr>
          <w:ilvl w:val="0"/>
          <w:numId w:val="30"/>
        </w:numPr>
        <w:spacing w:before="100" w:beforeAutospacing="1" w:after="100" w:afterAutospacing="1"/>
      </w:pPr>
      <w:r>
        <w:rPr>
          <w:rStyle w:val="af"/>
        </w:rPr>
        <w:t>液态散装</w:t>
      </w:r>
      <w:r>
        <w:t>（Merchant/Bulk）：半径经济学决定了最近的工厂赢，竞争主要在新客户争夺</w:t>
      </w:r>
    </w:p>
    <w:p w14:paraId="3744B499" w14:textId="77777777" w:rsidR="00E40504" w:rsidRDefault="00E40504" w:rsidP="00E40504">
      <w:pPr>
        <w:numPr>
          <w:ilvl w:val="0"/>
          <w:numId w:val="30"/>
        </w:numPr>
        <w:spacing w:before="100" w:beforeAutospacing="1" w:after="100" w:afterAutospacing="1"/>
      </w:pPr>
      <w:r>
        <w:rPr>
          <w:rStyle w:val="af"/>
        </w:rPr>
        <w:t>瓶装气体</w:t>
      </w:r>
      <w:r>
        <w:t>（Packaged/Cylinder）：竞争最激烈的环节，但通过并购整合持续集中</w:t>
      </w:r>
    </w:p>
    <w:p w14:paraId="2C24CD22" w14:textId="77777777" w:rsidR="00803181" w:rsidRDefault="00803181" w:rsidP="00132B67"/>
    <w:p w14:paraId="21137D69" w14:textId="77777777" w:rsidR="004628DD" w:rsidRPr="004628DD" w:rsidRDefault="004628DD" w:rsidP="004628DD">
      <w:pPr>
        <w:rPr>
          <w:b/>
          <w:bCs/>
        </w:rPr>
      </w:pPr>
      <w:r w:rsidRPr="004628DD">
        <w:rPr>
          <w:b/>
          <w:bCs/>
        </w:rPr>
        <w:t>2. 定价纪律</w:t>
      </w:r>
    </w:p>
    <w:p w14:paraId="03BEDF25" w14:textId="77777777" w:rsidR="004628DD" w:rsidRDefault="004628DD" w:rsidP="004628DD">
      <w:pPr>
        <w:pStyle w:val="ae"/>
      </w:pPr>
      <w:r>
        <w:lastRenderedPageBreak/>
        <w:t>寡头之间已形成高度默契的定价纪律——不打价格战，通过合同内嵌通胀调价条款实现"与CPI同步"的价格增长。Linde Q3'25财报确认："定价同比+2%，与全球加权通胀基本一致"。</w:t>
      </w:r>
    </w:p>
    <w:p w14:paraId="5F05A807" w14:textId="77777777" w:rsidR="00803181" w:rsidRDefault="00803181" w:rsidP="00132B67"/>
    <w:p w14:paraId="20EA2A16" w14:textId="0FA6E008" w:rsidR="00803181" w:rsidRPr="00246C86" w:rsidRDefault="00246C86" w:rsidP="00132B67">
      <w:pPr>
        <w:rPr>
          <w:b/>
          <w:bCs/>
        </w:rPr>
      </w:pPr>
      <w:r w:rsidRPr="00246C86">
        <w:rPr>
          <w:b/>
          <w:bCs/>
        </w:rPr>
        <w:t>3. 增长来自行业扩容而非份额抢夺</w:t>
      </w:r>
    </w:p>
    <w:p w14:paraId="56CE2636" w14:textId="222E6846" w:rsidR="00BE77AC" w:rsidRDefault="00246C86" w:rsidP="00132B67">
      <w:r w:rsidRPr="00246C86">
        <w:rPr>
          <w:noProof/>
        </w:rPr>
        <w:drawing>
          <wp:inline distT="0" distB="0" distL="0" distR="0" wp14:anchorId="6963093D" wp14:editId="598BBD64">
            <wp:extent cx="6645910" cy="2021205"/>
            <wp:effectExtent l="0" t="0" r="0" b="0"/>
            <wp:docPr id="126026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69977" name=""/>
                    <pic:cNvPicPr/>
                  </pic:nvPicPr>
                  <pic:blipFill>
                    <a:blip r:embed="rId30"/>
                    <a:stretch>
                      <a:fillRect/>
                    </a:stretch>
                  </pic:blipFill>
                  <pic:spPr>
                    <a:xfrm>
                      <a:off x="0" y="0"/>
                      <a:ext cx="6645910" cy="2021205"/>
                    </a:xfrm>
                    <a:prstGeom prst="rect">
                      <a:avLst/>
                    </a:prstGeom>
                  </pic:spPr>
                </pic:pic>
              </a:graphicData>
            </a:graphic>
          </wp:inline>
        </w:drawing>
      </w:r>
    </w:p>
    <w:p w14:paraId="17B9DF9B" w14:textId="77777777" w:rsidR="00803181" w:rsidRDefault="00803181" w:rsidP="00132B67"/>
    <w:p w14:paraId="22D0F4AF" w14:textId="292AA5F2" w:rsidR="0007299A" w:rsidRDefault="0007299A" w:rsidP="00CD7DFD">
      <w:pPr>
        <w:pStyle w:val="2"/>
      </w:pPr>
      <w:r>
        <w:rPr>
          <w:rFonts w:hint="eastAsia"/>
        </w:rPr>
        <w:t>管理层</w:t>
      </w:r>
    </w:p>
    <w:p w14:paraId="6715A010" w14:textId="748816BD" w:rsidR="0007299A" w:rsidRDefault="00E45428" w:rsidP="00132B67">
      <w:r w:rsidRPr="00E45428">
        <w:rPr>
          <w:noProof/>
        </w:rPr>
        <w:drawing>
          <wp:inline distT="0" distB="0" distL="0" distR="0" wp14:anchorId="23DD59BE" wp14:editId="327E81B3">
            <wp:extent cx="6645910" cy="2096135"/>
            <wp:effectExtent l="0" t="0" r="0" b="0"/>
            <wp:docPr id="124073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30580" name=""/>
                    <pic:cNvPicPr/>
                  </pic:nvPicPr>
                  <pic:blipFill>
                    <a:blip r:embed="rId31"/>
                    <a:stretch>
                      <a:fillRect/>
                    </a:stretch>
                  </pic:blipFill>
                  <pic:spPr>
                    <a:xfrm>
                      <a:off x="0" y="0"/>
                      <a:ext cx="6645910" cy="2096135"/>
                    </a:xfrm>
                    <a:prstGeom prst="rect">
                      <a:avLst/>
                    </a:prstGeom>
                  </pic:spPr>
                </pic:pic>
              </a:graphicData>
            </a:graphic>
          </wp:inline>
        </w:drawing>
      </w:r>
    </w:p>
    <w:p w14:paraId="7456D58F" w14:textId="77777777" w:rsidR="00CD7DFD" w:rsidRPr="00CD7DFD" w:rsidRDefault="00CD7DFD" w:rsidP="00CD7DFD">
      <w:pPr>
        <w:pStyle w:val="ae"/>
        <w:rPr>
          <w:b/>
          <w:bCs/>
        </w:rPr>
      </w:pPr>
      <w:r w:rsidRPr="00CD7DFD">
        <w:rPr>
          <w:rStyle w:val="af"/>
          <w:b w:val="0"/>
          <w:bCs w:val="0"/>
        </w:rPr>
        <w:t>75%的CEO目标薪酬为长期激励，强烈对齐股东利益。</w:t>
      </w:r>
    </w:p>
    <w:p w14:paraId="424BCFFA" w14:textId="77777777" w:rsidR="00CD7DFD" w:rsidRDefault="00CD7DFD" w:rsidP="00CD7DFD">
      <w:pPr>
        <w:pStyle w:val="ae"/>
      </w:pPr>
      <w:r>
        <w:t>LTI构成：</w:t>
      </w:r>
    </w:p>
    <w:p w14:paraId="71767B6A" w14:textId="77777777" w:rsidR="00CD7DFD" w:rsidRDefault="00CD7DFD" w:rsidP="00CD7DFD">
      <w:pPr>
        <w:numPr>
          <w:ilvl w:val="0"/>
          <w:numId w:val="23"/>
        </w:numPr>
        <w:spacing w:before="100" w:beforeAutospacing="1" w:after="100" w:afterAutospacing="1"/>
      </w:pPr>
      <w:r>
        <w:rPr>
          <w:rStyle w:val="af"/>
        </w:rPr>
        <w:t>PSU（绩效股票）：50%</w:t>
      </w:r>
      <w:r>
        <w:t xml:space="preserve"> — ROC + 相对TSR</w:t>
      </w:r>
    </w:p>
    <w:p w14:paraId="69698A4A" w14:textId="77777777" w:rsidR="00CD7DFD" w:rsidRDefault="00CD7DFD" w:rsidP="00CD7DFD">
      <w:pPr>
        <w:numPr>
          <w:ilvl w:val="0"/>
          <w:numId w:val="23"/>
        </w:numPr>
        <w:spacing w:before="100" w:beforeAutospacing="1" w:after="100" w:afterAutospacing="1"/>
      </w:pPr>
      <w:r>
        <w:rPr>
          <w:rStyle w:val="af"/>
        </w:rPr>
        <w:t>Stock Options（期权）：30%</w:t>
      </w:r>
      <w:r>
        <w:t xml:space="preserve"> — 3年分期归属</w:t>
      </w:r>
    </w:p>
    <w:p w14:paraId="10EB3198" w14:textId="77777777" w:rsidR="00CD7DFD" w:rsidRDefault="00CD7DFD" w:rsidP="00CD7DFD">
      <w:pPr>
        <w:numPr>
          <w:ilvl w:val="0"/>
          <w:numId w:val="23"/>
        </w:numPr>
        <w:spacing w:before="100" w:beforeAutospacing="1" w:after="100" w:afterAutospacing="1"/>
      </w:pPr>
      <w:r>
        <w:rPr>
          <w:rStyle w:val="af"/>
        </w:rPr>
        <w:t>RSU（限制性股票）：20%</w:t>
      </w:r>
      <w:r>
        <w:t xml:space="preserve"> — 3年悬崖归属</w:t>
      </w:r>
    </w:p>
    <w:p w14:paraId="1A2E78F4" w14:textId="608ED1D6" w:rsidR="00E45428" w:rsidRDefault="004923F2" w:rsidP="00132B67">
      <w:r w:rsidRPr="004923F2">
        <w:rPr>
          <w:noProof/>
        </w:rPr>
        <w:drawing>
          <wp:inline distT="0" distB="0" distL="0" distR="0" wp14:anchorId="6214EBC3" wp14:editId="6A3EE1FF">
            <wp:extent cx="6645910" cy="1480820"/>
            <wp:effectExtent l="0" t="0" r="0" b="5080"/>
            <wp:docPr id="2004093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3987" name=""/>
                    <pic:cNvPicPr/>
                  </pic:nvPicPr>
                  <pic:blipFill>
                    <a:blip r:embed="rId32"/>
                    <a:stretch>
                      <a:fillRect/>
                    </a:stretch>
                  </pic:blipFill>
                  <pic:spPr>
                    <a:xfrm>
                      <a:off x="0" y="0"/>
                      <a:ext cx="6645910" cy="1480820"/>
                    </a:xfrm>
                    <a:prstGeom prst="rect">
                      <a:avLst/>
                    </a:prstGeom>
                  </pic:spPr>
                </pic:pic>
              </a:graphicData>
            </a:graphic>
          </wp:inline>
        </w:drawing>
      </w:r>
    </w:p>
    <w:p w14:paraId="304BA645" w14:textId="352CE102" w:rsidR="00E45428" w:rsidRPr="004923F2" w:rsidRDefault="004923F2" w:rsidP="00132B67">
      <w:r w:rsidRPr="004923F2">
        <w:t>短期激励（AVC）— 75%财务指标 + 25%非财务</w:t>
      </w:r>
    </w:p>
    <w:p w14:paraId="02F178FC" w14:textId="3D1FCD6A" w:rsidR="00E45428" w:rsidRDefault="009F14D7" w:rsidP="00132B67">
      <w:r w:rsidRPr="009F14D7">
        <w:rPr>
          <w:noProof/>
        </w:rPr>
        <w:lastRenderedPageBreak/>
        <w:drawing>
          <wp:inline distT="0" distB="0" distL="0" distR="0" wp14:anchorId="081827CA" wp14:editId="4E236655">
            <wp:extent cx="6645910" cy="1708785"/>
            <wp:effectExtent l="0" t="0" r="0" b="5715"/>
            <wp:docPr id="187472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8322" name=""/>
                    <pic:cNvPicPr/>
                  </pic:nvPicPr>
                  <pic:blipFill>
                    <a:blip r:embed="rId33"/>
                    <a:stretch>
                      <a:fillRect/>
                    </a:stretch>
                  </pic:blipFill>
                  <pic:spPr>
                    <a:xfrm>
                      <a:off x="0" y="0"/>
                      <a:ext cx="6645910" cy="1708785"/>
                    </a:xfrm>
                    <a:prstGeom prst="rect">
                      <a:avLst/>
                    </a:prstGeom>
                  </pic:spPr>
                </pic:pic>
              </a:graphicData>
            </a:graphic>
          </wp:inline>
        </w:drawing>
      </w:r>
    </w:p>
    <w:p w14:paraId="2517B5A4" w14:textId="622DC183" w:rsidR="004923F2" w:rsidRDefault="00473965" w:rsidP="00132B67">
      <w:r w:rsidRPr="00473965">
        <w:rPr>
          <w:noProof/>
        </w:rPr>
        <w:drawing>
          <wp:inline distT="0" distB="0" distL="0" distR="0" wp14:anchorId="1065A7F1" wp14:editId="3ACEF479">
            <wp:extent cx="6645910" cy="3012440"/>
            <wp:effectExtent l="0" t="0" r="0" b="0"/>
            <wp:docPr id="1964439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9549" name=""/>
                    <pic:cNvPicPr/>
                  </pic:nvPicPr>
                  <pic:blipFill>
                    <a:blip r:embed="rId34"/>
                    <a:stretch>
                      <a:fillRect/>
                    </a:stretch>
                  </pic:blipFill>
                  <pic:spPr>
                    <a:xfrm>
                      <a:off x="0" y="0"/>
                      <a:ext cx="6645910" cy="3012440"/>
                    </a:xfrm>
                    <a:prstGeom prst="rect">
                      <a:avLst/>
                    </a:prstGeom>
                  </pic:spPr>
                </pic:pic>
              </a:graphicData>
            </a:graphic>
          </wp:inline>
        </w:drawing>
      </w:r>
    </w:p>
    <w:p w14:paraId="2ED72AED" w14:textId="77777777" w:rsidR="004923F2" w:rsidRDefault="004923F2" w:rsidP="00132B67"/>
    <w:p w14:paraId="66F07881" w14:textId="1F2ADD3F" w:rsidR="00BC67A2" w:rsidRPr="005520A6" w:rsidRDefault="005520A6" w:rsidP="00132B67">
      <w:pPr>
        <w:pStyle w:val="2"/>
      </w:pPr>
      <w:r w:rsidRPr="005520A6">
        <w:rPr>
          <w:rFonts w:hint="eastAsia"/>
        </w:rPr>
        <w:lastRenderedPageBreak/>
        <w:t>基本面</w:t>
      </w:r>
    </w:p>
    <w:p w14:paraId="4420C403" w14:textId="2CE537F6" w:rsidR="00440ABE" w:rsidRDefault="008B2B81" w:rsidP="00132B67">
      <w:pPr>
        <w:rPr>
          <w:noProof/>
        </w:rPr>
      </w:pPr>
      <w:r w:rsidRPr="008B2B81">
        <w:rPr>
          <w:noProof/>
        </w:rPr>
        <w:drawing>
          <wp:inline distT="0" distB="0" distL="0" distR="0" wp14:anchorId="34CBE973" wp14:editId="3F46E78C">
            <wp:extent cx="2616740" cy="3521055"/>
            <wp:effectExtent l="0" t="0" r="0" b="0"/>
            <wp:docPr id="169898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4211" name=""/>
                    <pic:cNvPicPr/>
                  </pic:nvPicPr>
                  <pic:blipFill>
                    <a:blip r:embed="rId35"/>
                    <a:stretch>
                      <a:fillRect/>
                    </a:stretch>
                  </pic:blipFill>
                  <pic:spPr>
                    <a:xfrm>
                      <a:off x="0" y="0"/>
                      <a:ext cx="2627832" cy="3535981"/>
                    </a:xfrm>
                    <a:prstGeom prst="rect">
                      <a:avLst/>
                    </a:prstGeom>
                  </pic:spPr>
                </pic:pic>
              </a:graphicData>
            </a:graphic>
          </wp:inline>
        </w:drawing>
      </w:r>
      <w:r w:rsidR="00D74FAF" w:rsidRPr="00D74FAF">
        <w:rPr>
          <w:noProof/>
        </w:rPr>
        <w:t xml:space="preserve"> </w:t>
      </w:r>
      <w:r w:rsidR="00D74FAF" w:rsidRPr="00D74FAF">
        <w:rPr>
          <w:noProof/>
        </w:rPr>
        <w:drawing>
          <wp:inline distT="0" distB="0" distL="0" distR="0" wp14:anchorId="69F051BA" wp14:editId="12939394">
            <wp:extent cx="2714017" cy="2378124"/>
            <wp:effectExtent l="0" t="0" r="3810" b="0"/>
            <wp:docPr id="213309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90951" name=""/>
                    <pic:cNvPicPr/>
                  </pic:nvPicPr>
                  <pic:blipFill>
                    <a:blip r:embed="rId36"/>
                    <a:stretch>
                      <a:fillRect/>
                    </a:stretch>
                  </pic:blipFill>
                  <pic:spPr>
                    <a:xfrm>
                      <a:off x="0" y="0"/>
                      <a:ext cx="2733437" cy="2395140"/>
                    </a:xfrm>
                    <a:prstGeom prst="rect">
                      <a:avLst/>
                    </a:prstGeom>
                  </pic:spPr>
                </pic:pic>
              </a:graphicData>
            </a:graphic>
          </wp:inline>
        </w:drawing>
      </w:r>
      <w:r w:rsidR="00B013D9" w:rsidRPr="00B013D9">
        <w:rPr>
          <w:noProof/>
        </w:rPr>
        <w:t xml:space="preserve"> </w:t>
      </w:r>
      <w:r w:rsidR="00B013D9" w:rsidRPr="00B013D9">
        <w:rPr>
          <w:noProof/>
        </w:rPr>
        <w:drawing>
          <wp:inline distT="0" distB="0" distL="0" distR="0" wp14:anchorId="24BB9FFB" wp14:editId="70391860">
            <wp:extent cx="2801566" cy="4333457"/>
            <wp:effectExtent l="0" t="0" r="5715" b="0"/>
            <wp:docPr id="1493578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8506" name=""/>
                    <pic:cNvPicPr/>
                  </pic:nvPicPr>
                  <pic:blipFill>
                    <a:blip r:embed="rId37"/>
                    <a:stretch>
                      <a:fillRect/>
                    </a:stretch>
                  </pic:blipFill>
                  <pic:spPr>
                    <a:xfrm>
                      <a:off x="0" y="0"/>
                      <a:ext cx="2820741" cy="4363117"/>
                    </a:xfrm>
                    <a:prstGeom prst="rect">
                      <a:avLst/>
                    </a:prstGeom>
                  </pic:spPr>
                </pic:pic>
              </a:graphicData>
            </a:graphic>
          </wp:inline>
        </w:drawing>
      </w:r>
      <w:r w:rsidR="00DB61AA" w:rsidRPr="00DB61AA">
        <w:rPr>
          <w:noProof/>
        </w:rPr>
        <w:t xml:space="preserve"> </w:t>
      </w:r>
    </w:p>
    <w:p w14:paraId="5BA5BDAE" w14:textId="6779316C" w:rsidR="00EA53A8" w:rsidRDefault="00EA53A8" w:rsidP="00132B67">
      <w:pPr>
        <w:rPr>
          <w:noProof/>
        </w:rPr>
      </w:pPr>
      <w:r w:rsidRPr="00EA53A8">
        <w:rPr>
          <w:noProof/>
        </w:rPr>
        <w:lastRenderedPageBreak/>
        <w:drawing>
          <wp:inline distT="0" distB="0" distL="0" distR="0" wp14:anchorId="40DDC3EE" wp14:editId="1FF137D2">
            <wp:extent cx="2651321" cy="3268493"/>
            <wp:effectExtent l="0" t="0" r="3175" b="0"/>
            <wp:docPr id="463185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5111" name=""/>
                    <pic:cNvPicPr/>
                  </pic:nvPicPr>
                  <pic:blipFill>
                    <a:blip r:embed="rId38"/>
                    <a:stretch>
                      <a:fillRect/>
                    </a:stretch>
                  </pic:blipFill>
                  <pic:spPr>
                    <a:xfrm>
                      <a:off x="0" y="0"/>
                      <a:ext cx="2674437" cy="3296990"/>
                    </a:xfrm>
                    <a:prstGeom prst="rect">
                      <a:avLst/>
                    </a:prstGeom>
                  </pic:spPr>
                </pic:pic>
              </a:graphicData>
            </a:graphic>
          </wp:inline>
        </w:drawing>
      </w:r>
      <w:r w:rsidRPr="00EA53A8">
        <w:rPr>
          <w:noProof/>
        </w:rPr>
        <w:t xml:space="preserve"> </w:t>
      </w:r>
      <w:r w:rsidRPr="00EA53A8">
        <w:rPr>
          <w:noProof/>
        </w:rPr>
        <w:drawing>
          <wp:inline distT="0" distB="0" distL="0" distR="0" wp14:anchorId="26C1C3E5" wp14:editId="1CAA8CB9">
            <wp:extent cx="2509736" cy="1733745"/>
            <wp:effectExtent l="0" t="0" r="5080" b="6350"/>
            <wp:docPr id="465065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5941" name=""/>
                    <pic:cNvPicPr/>
                  </pic:nvPicPr>
                  <pic:blipFill>
                    <a:blip r:embed="rId39"/>
                    <a:stretch>
                      <a:fillRect/>
                    </a:stretch>
                  </pic:blipFill>
                  <pic:spPr>
                    <a:xfrm>
                      <a:off x="0" y="0"/>
                      <a:ext cx="2521321" cy="1741748"/>
                    </a:xfrm>
                    <a:prstGeom prst="rect">
                      <a:avLst/>
                    </a:prstGeom>
                  </pic:spPr>
                </pic:pic>
              </a:graphicData>
            </a:graphic>
          </wp:inline>
        </w:drawing>
      </w:r>
      <w:r w:rsidRPr="00EA53A8">
        <w:rPr>
          <w:noProof/>
        </w:rPr>
        <w:drawing>
          <wp:inline distT="0" distB="0" distL="0" distR="0" wp14:anchorId="2F69DAF2" wp14:editId="0B01402C">
            <wp:extent cx="2752928" cy="1923921"/>
            <wp:effectExtent l="0" t="0" r="3175" b="0"/>
            <wp:docPr id="144109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3611" name=""/>
                    <pic:cNvPicPr/>
                  </pic:nvPicPr>
                  <pic:blipFill>
                    <a:blip r:embed="rId40"/>
                    <a:stretch>
                      <a:fillRect/>
                    </a:stretch>
                  </pic:blipFill>
                  <pic:spPr>
                    <a:xfrm>
                      <a:off x="0" y="0"/>
                      <a:ext cx="2770653" cy="1936308"/>
                    </a:xfrm>
                    <a:prstGeom prst="rect">
                      <a:avLst/>
                    </a:prstGeom>
                  </pic:spPr>
                </pic:pic>
              </a:graphicData>
            </a:graphic>
          </wp:inline>
        </w:drawing>
      </w:r>
      <w:r w:rsidRPr="00EA53A8">
        <w:rPr>
          <w:noProof/>
        </w:rPr>
        <w:t xml:space="preserve"> </w:t>
      </w:r>
    </w:p>
    <w:p w14:paraId="11789877" w14:textId="07D0E1F0" w:rsidR="00920EF3" w:rsidRDefault="00920EF3" w:rsidP="00132B67">
      <w:r w:rsidRPr="00920EF3">
        <w:rPr>
          <w:noProof/>
        </w:rPr>
        <w:lastRenderedPageBreak/>
        <w:drawing>
          <wp:inline distT="0" distB="0" distL="0" distR="0" wp14:anchorId="7378799A" wp14:editId="16FB11FD">
            <wp:extent cx="6645910" cy="6583680"/>
            <wp:effectExtent l="0" t="0" r="0" b="0"/>
            <wp:docPr id="2143653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3535" name=""/>
                    <pic:cNvPicPr/>
                  </pic:nvPicPr>
                  <pic:blipFill>
                    <a:blip r:embed="rId41"/>
                    <a:stretch>
                      <a:fillRect/>
                    </a:stretch>
                  </pic:blipFill>
                  <pic:spPr>
                    <a:xfrm>
                      <a:off x="0" y="0"/>
                      <a:ext cx="6645910" cy="6583680"/>
                    </a:xfrm>
                    <a:prstGeom prst="rect">
                      <a:avLst/>
                    </a:prstGeom>
                  </pic:spPr>
                </pic:pic>
              </a:graphicData>
            </a:graphic>
          </wp:inline>
        </w:drawing>
      </w:r>
    </w:p>
    <w:p w14:paraId="160CA30B" w14:textId="5F5323E6" w:rsidR="00920EF3" w:rsidRDefault="00920EF3" w:rsidP="00132B67">
      <w:r w:rsidRPr="00920EF3">
        <w:rPr>
          <w:noProof/>
        </w:rPr>
        <w:drawing>
          <wp:inline distT="0" distB="0" distL="0" distR="0" wp14:anchorId="1395276B" wp14:editId="2E3F7C44">
            <wp:extent cx="6478621" cy="1413832"/>
            <wp:effectExtent l="0" t="0" r="0" b="0"/>
            <wp:docPr id="5246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644" name=""/>
                    <pic:cNvPicPr/>
                  </pic:nvPicPr>
                  <pic:blipFill>
                    <a:blip r:embed="rId42"/>
                    <a:stretch>
                      <a:fillRect/>
                    </a:stretch>
                  </pic:blipFill>
                  <pic:spPr>
                    <a:xfrm>
                      <a:off x="0" y="0"/>
                      <a:ext cx="6500314" cy="1418566"/>
                    </a:xfrm>
                    <a:prstGeom prst="rect">
                      <a:avLst/>
                    </a:prstGeom>
                  </pic:spPr>
                </pic:pic>
              </a:graphicData>
            </a:graphic>
          </wp:inline>
        </w:drawing>
      </w:r>
    </w:p>
    <w:p w14:paraId="54BC81E0" w14:textId="196329FC" w:rsidR="00920EF3" w:rsidRDefault="00B77AF5" w:rsidP="00132B67">
      <w:r w:rsidRPr="00B77AF5">
        <w:rPr>
          <w:noProof/>
        </w:rPr>
        <w:lastRenderedPageBreak/>
        <w:drawing>
          <wp:inline distT="0" distB="0" distL="0" distR="0" wp14:anchorId="4D269FEA" wp14:editId="33727670">
            <wp:extent cx="2570161" cy="3297677"/>
            <wp:effectExtent l="0" t="0" r="0" b="4445"/>
            <wp:docPr id="545729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29165" name=""/>
                    <pic:cNvPicPr/>
                  </pic:nvPicPr>
                  <pic:blipFill>
                    <a:blip r:embed="rId43"/>
                    <a:stretch>
                      <a:fillRect/>
                    </a:stretch>
                  </pic:blipFill>
                  <pic:spPr>
                    <a:xfrm>
                      <a:off x="0" y="0"/>
                      <a:ext cx="2587133" cy="3319453"/>
                    </a:xfrm>
                    <a:prstGeom prst="rect">
                      <a:avLst/>
                    </a:prstGeom>
                  </pic:spPr>
                </pic:pic>
              </a:graphicData>
            </a:graphic>
          </wp:inline>
        </w:drawing>
      </w:r>
      <w:r w:rsidRPr="00B77AF5">
        <w:rPr>
          <w:noProof/>
        </w:rPr>
        <w:t xml:space="preserve"> </w:t>
      </w:r>
      <w:r w:rsidRPr="00B77AF5">
        <w:rPr>
          <w:noProof/>
        </w:rPr>
        <w:drawing>
          <wp:inline distT="0" distB="0" distL="0" distR="0" wp14:anchorId="7FD0E2B4" wp14:editId="711AB91C">
            <wp:extent cx="2830260" cy="2334639"/>
            <wp:effectExtent l="0" t="0" r="1905" b="2540"/>
            <wp:docPr id="2081821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1550" name=""/>
                    <pic:cNvPicPr/>
                  </pic:nvPicPr>
                  <pic:blipFill>
                    <a:blip r:embed="rId44"/>
                    <a:stretch>
                      <a:fillRect/>
                    </a:stretch>
                  </pic:blipFill>
                  <pic:spPr>
                    <a:xfrm>
                      <a:off x="0" y="0"/>
                      <a:ext cx="2855152" cy="2355172"/>
                    </a:xfrm>
                    <a:prstGeom prst="rect">
                      <a:avLst/>
                    </a:prstGeom>
                  </pic:spPr>
                </pic:pic>
              </a:graphicData>
            </a:graphic>
          </wp:inline>
        </w:drawing>
      </w:r>
    </w:p>
    <w:p w14:paraId="17BB3EB5" w14:textId="1DF9CE9E" w:rsidR="003464D5" w:rsidRDefault="00CE5B63" w:rsidP="00132B67">
      <w:pPr>
        <w:rPr>
          <w:noProof/>
        </w:rPr>
      </w:pPr>
      <w:r w:rsidRPr="00CE5B63">
        <w:rPr>
          <w:noProof/>
        </w:rPr>
        <w:t xml:space="preserve"> </w:t>
      </w:r>
      <w:r w:rsidRPr="00CE5B63">
        <w:rPr>
          <w:noProof/>
        </w:rPr>
        <w:drawing>
          <wp:inline distT="0" distB="0" distL="0" distR="0" wp14:anchorId="544C311A" wp14:editId="26ECD2AF">
            <wp:extent cx="6157609" cy="4645565"/>
            <wp:effectExtent l="0" t="0" r="1905" b="3175"/>
            <wp:docPr id="204014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0568" name=""/>
                    <pic:cNvPicPr/>
                  </pic:nvPicPr>
                  <pic:blipFill>
                    <a:blip r:embed="rId45"/>
                    <a:stretch>
                      <a:fillRect/>
                    </a:stretch>
                  </pic:blipFill>
                  <pic:spPr>
                    <a:xfrm>
                      <a:off x="0" y="0"/>
                      <a:ext cx="6173047" cy="4657212"/>
                    </a:xfrm>
                    <a:prstGeom prst="rect">
                      <a:avLst/>
                    </a:prstGeom>
                  </pic:spPr>
                </pic:pic>
              </a:graphicData>
            </a:graphic>
          </wp:inline>
        </w:drawing>
      </w:r>
    </w:p>
    <w:p w14:paraId="4C927CCB" w14:textId="58A9AA1E" w:rsidR="005520A6" w:rsidRDefault="007C33A4" w:rsidP="00132B67">
      <w:r>
        <w:rPr>
          <w:rFonts w:ascii="Helvetica Neue" w:hAnsi="Helvetica Neue"/>
          <w:color w:val="333333"/>
          <w:shd w:val="clear" w:color="auto" w:fill="FFFFFF"/>
        </w:rPr>
        <w:t>折旧摊销率从</w:t>
      </w:r>
      <w:r>
        <w:rPr>
          <w:rFonts w:ascii="Helvetica Neue" w:hAnsi="Helvetica Neue"/>
          <w:color w:val="333333"/>
          <w:shd w:val="clear" w:color="auto" w:fill="FFFFFF"/>
        </w:rPr>
        <w:t>15.1%</w:t>
      </w:r>
      <w:r>
        <w:rPr>
          <w:rFonts w:ascii="Helvetica Neue" w:hAnsi="Helvetica Neue"/>
          <w:color w:val="333333"/>
          <w:shd w:val="clear" w:color="auto" w:fill="FFFFFF"/>
        </w:rPr>
        <w:t>持续降至</w:t>
      </w:r>
      <w:r>
        <w:rPr>
          <w:rFonts w:ascii="Helvetica Neue" w:hAnsi="Helvetica Neue"/>
          <w:color w:val="333333"/>
          <w:shd w:val="clear" w:color="auto" w:fill="FFFFFF"/>
        </w:rPr>
        <w:t>11.1%</w:t>
      </w:r>
      <w:r>
        <w:rPr>
          <w:rFonts w:ascii="Helvetica Neue" w:hAnsi="Helvetica Neue"/>
          <w:color w:val="333333"/>
          <w:shd w:val="clear" w:color="auto" w:fill="FFFFFF"/>
        </w:rPr>
        <w:t>，并购相关无形资产的摊销逐步递减，这是报告营业利润上升的重要贡献因素。</w:t>
      </w:r>
    </w:p>
    <w:p w14:paraId="7CFC9A46" w14:textId="77777777" w:rsidR="005520A6" w:rsidRDefault="005520A6" w:rsidP="00132B67"/>
    <w:p w14:paraId="73EB2D0F" w14:textId="78EEE215" w:rsidR="005520A6" w:rsidRDefault="00333747" w:rsidP="00132B67">
      <w:pPr>
        <w:pStyle w:val="2"/>
      </w:pPr>
      <w:r>
        <w:rPr>
          <w:rFonts w:hint="eastAsia"/>
        </w:rPr>
        <w:lastRenderedPageBreak/>
        <w:t>增长</w:t>
      </w:r>
      <w:r w:rsidR="00BA437E">
        <w:rPr>
          <w:rFonts w:hint="eastAsia"/>
        </w:rPr>
        <w:t>驱动</w:t>
      </w:r>
      <w:r w:rsidR="008D27BE">
        <w:rPr>
          <w:rFonts w:hint="eastAsia"/>
        </w:rPr>
        <w:t>因素</w:t>
      </w:r>
    </w:p>
    <w:p w14:paraId="047BCF7E" w14:textId="41F4B3BB" w:rsidR="001052A5" w:rsidRPr="001052A5" w:rsidRDefault="00E5464F" w:rsidP="00132B67">
      <w:pPr>
        <w:pStyle w:val="3"/>
      </w:pPr>
      <w:r>
        <w:rPr>
          <w:rFonts w:hint="eastAsia"/>
        </w:rPr>
        <w:t>合并财务</w:t>
      </w:r>
      <w:r w:rsidR="001052A5">
        <w:rPr>
          <w:rFonts w:hint="eastAsia"/>
        </w:rPr>
        <w:t>分析</w:t>
      </w:r>
    </w:p>
    <w:p w14:paraId="41FE793A" w14:textId="086A2D7B" w:rsidR="00152EFB" w:rsidRDefault="00DF3BFC" w:rsidP="00C85EED">
      <w:r w:rsidRPr="00DF3BFC">
        <w:rPr>
          <w:noProof/>
        </w:rPr>
        <w:drawing>
          <wp:inline distT="0" distB="0" distL="0" distR="0" wp14:anchorId="7B6F12F5" wp14:editId="39178330">
            <wp:extent cx="5748867" cy="3658270"/>
            <wp:effectExtent l="0" t="0" r="4445" b="0"/>
            <wp:docPr id="1690334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4056" name=""/>
                    <pic:cNvPicPr/>
                  </pic:nvPicPr>
                  <pic:blipFill>
                    <a:blip r:embed="rId46"/>
                    <a:stretch>
                      <a:fillRect/>
                    </a:stretch>
                  </pic:blipFill>
                  <pic:spPr>
                    <a:xfrm>
                      <a:off x="0" y="0"/>
                      <a:ext cx="5758791" cy="3664585"/>
                    </a:xfrm>
                    <a:prstGeom prst="rect">
                      <a:avLst/>
                    </a:prstGeom>
                  </pic:spPr>
                </pic:pic>
              </a:graphicData>
            </a:graphic>
          </wp:inline>
        </w:drawing>
      </w:r>
    </w:p>
    <w:p w14:paraId="5FFA9EDD" w14:textId="2A0879F0" w:rsidR="00C85EED" w:rsidRDefault="00C85EED" w:rsidP="00C85EED">
      <w:r>
        <w:t>营收从Q3的$86亿加速至Q2的$93亿，同比增速+3%→+9%。核心信号是量增长从零回正（0%→+2%），标志着走出持续两年的工业衰退，而定价每季度稳定+2%不受周期影响，这两层叠加构成了加速的基础。</w:t>
      </w:r>
    </w:p>
    <w:p w14:paraId="00B7C72E" w14:textId="77777777" w:rsidR="00CE4EA4" w:rsidRDefault="00CE4EA4" w:rsidP="00C85EED"/>
    <w:p w14:paraId="16872F2E" w14:textId="223AC2BB" w:rsidR="00C85EED" w:rsidRDefault="00C85EED" w:rsidP="00C85EED">
      <w:r>
        <w:t>EPS表现好于营收：$4.21→$4.20→$4.33→$4.50，同比+6%至+10%，连续四季达到或超过指引上限。差额来自持续回购（FY2025净回购$46亿压缩股本）和运营杠杆。全年指引下限从$17.40逐步上调至$17.70，上限$17.90始终不动——极度保守的指引风格。</w:t>
      </w:r>
    </w:p>
    <w:p w14:paraId="084C002F" w14:textId="77777777" w:rsidR="00CE4EA4" w:rsidRDefault="00CE4EA4" w:rsidP="00C85EED"/>
    <w:p w14:paraId="5B29C5EF" w14:textId="0F47F3E0" w:rsidR="00C85EED" w:rsidRDefault="00C85EED" w:rsidP="00C85EED">
      <w:r>
        <w:t>利润率在29.5-30%横盘，看似停滞，实则是三个暂时因素压制：</w:t>
      </w:r>
      <w:proofErr w:type="spellStart"/>
      <w:r>
        <w:t>Lincare</w:t>
      </w:r>
      <w:proofErr w:type="spellEnd"/>
      <w:r>
        <w:t>拖累（正在评估剥离）、亚太低利润率电子设备销售放量（换取长期气体合同）、美国硬商品增长稀释（制造业回暖信号）。管理层判断"多数逆风暂时性"，全年利润率扩张目标维持。</w:t>
      </w:r>
    </w:p>
    <w:p w14:paraId="2954F858" w14:textId="77777777" w:rsidR="00E44F4C" w:rsidRPr="00B16BCB" w:rsidRDefault="00E44F4C" w:rsidP="00E44F4C">
      <w:pPr>
        <w:rPr>
          <w:rFonts w:hint="eastAsia"/>
          <w:sz w:val="22"/>
          <w:szCs w:val="22"/>
        </w:rPr>
      </w:pPr>
    </w:p>
    <w:p w14:paraId="3BC8185E" w14:textId="77777777" w:rsidR="00E44F4C" w:rsidRPr="00E44F4C" w:rsidRDefault="00E44F4C" w:rsidP="00E44F4C">
      <w:r w:rsidRPr="00E44F4C">
        <w:t>资本开支加速（全年指引从$50-55亿上调至$55-60亿），主要投向电子和航天项目。ROC从24.6%降至23.5%是投资期正常现象——$81亿在手订单尚在建设期，投产爬坡后ROC将回升。全年OCF $104亿（创纪录）支撑了"投资+回报两不误"的分配格局。</w:t>
      </w:r>
    </w:p>
    <w:p w14:paraId="6C9B53F0" w14:textId="77777777" w:rsidR="00C85EED" w:rsidRPr="00E44F4C" w:rsidRDefault="00C85EED" w:rsidP="00C85EED"/>
    <w:p w14:paraId="4FDB3019" w14:textId="77777777" w:rsidR="00E07B6D" w:rsidRPr="00906A5A" w:rsidRDefault="00E07B6D" w:rsidP="00E07B6D">
      <w:pPr>
        <w:rPr>
          <w:b/>
          <w:bCs/>
          <w:sz w:val="22"/>
          <w:szCs w:val="22"/>
        </w:rPr>
      </w:pPr>
      <w:r w:rsidRPr="00E07B6D">
        <w:rPr>
          <w:sz w:val="22"/>
          <w:szCs w:val="22"/>
        </w:rPr>
        <w:tab/>
      </w:r>
      <w:r w:rsidRPr="00906A5A">
        <w:rPr>
          <w:b/>
          <w:bCs/>
          <w:sz w:val="22"/>
          <w:szCs w:val="22"/>
        </w:rPr>
        <w:t>面向电子客户的设备销售（亚太利润率拖累项）</w:t>
      </w:r>
    </w:p>
    <w:p w14:paraId="5E1D83E2" w14:textId="5884A671" w:rsidR="00E07B6D" w:rsidRPr="00E07B6D" w:rsidRDefault="00E07B6D" w:rsidP="00E07B6D">
      <w:pPr>
        <w:ind w:left="420" w:firstLine="420"/>
        <w:rPr>
          <w:rFonts w:hint="eastAsia"/>
          <w:sz w:val="22"/>
          <w:szCs w:val="22"/>
        </w:rPr>
      </w:pPr>
      <w:r w:rsidRPr="00E07B6D">
        <w:rPr>
          <w:sz w:val="22"/>
          <w:szCs w:val="22"/>
        </w:rPr>
        <w:t>Q1</w:t>
      </w:r>
      <w:r w:rsidRPr="00E07B6D">
        <w:rPr>
          <w:rFonts w:hint="eastAsia"/>
          <w:sz w:val="22"/>
          <w:szCs w:val="22"/>
        </w:rPr>
        <w:t>：</w:t>
      </w:r>
      <w:r w:rsidRPr="00E07B6D">
        <w:rPr>
          <w:sz w:val="22"/>
          <w:szCs w:val="22"/>
        </w:rPr>
        <w:t>"约一半的销售额来自和电子行业长期merchant合同绑定的设备销售，这类业务平均利润率略低，属于一次性因素"</w:t>
      </w:r>
    </w:p>
    <w:p w14:paraId="03E407E6" w14:textId="7EBA49EE" w:rsidR="00E07B6D" w:rsidRPr="00E07B6D" w:rsidRDefault="00E07B6D" w:rsidP="00E07B6D">
      <w:pPr>
        <w:ind w:left="420" w:firstLine="420"/>
        <w:rPr>
          <w:rFonts w:hint="eastAsia"/>
          <w:sz w:val="22"/>
          <w:szCs w:val="22"/>
        </w:rPr>
      </w:pPr>
      <w:r w:rsidRPr="00E07B6D">
        <w:rPr>
          <w:sz w:val="22"/>
          <w:szCs w:val="22"/>
        </w:rPr>
        <w:t>Q2："亚太地区的设备销售虽然利润率表现一般，但可以拉动后续的气体销售，有助于锁定未来增长"</w:t>
      </w:r>
    </w:p>
    <w:p w14:paraId="4B417DF8" w14:textId="5E0FA53F" w:rsidR="00E07B6D" w:rsidRPr="00E07B6D" w:rsidRDefault="00E07B6D" w:rsidP="00E07B6D">
      <w:pPr>
        <w:ind w:left="420" w:firstLine="420"/>
        <w:rPr>
          <w:sz w:val="22"/>
          <w:szCs w:val="22"/>
        </w:rPr>
      </w:pPr>
      <w:r w:rsidRPr="00E07B6D">
        <w:rPr>
          <w:sz w:val="22"/>
          <w:szCs w:val="22"/>
        </w:rPr>
        <w:t>这里的"设备"指的是为半导体晶圆厂配套的气体供应基础设施——空分装置(ASU)、高纯气体输送系统、现场制气设备等。当客户选择的合同模式不是"林德建厂并持有运营"（on-site模式），而是"林德建完设备卖给客户、同时签长期气体供应合同"（merchant模式配套设备sale）时，设备销售一次性确认收入，利润率远低于后续持续供气的利润率。</w:t>
      </w:r>
    </w:p>
    <w:p w14:paraId="35B3CD6F" w14:textId="77777777" w:rsidR="00E07B6D" w:rsidRDefault="00E07B6D" w:rsidP="00E07B6D">
      <w:pPr>
        <w:ind w:firstLine="420"/>
      </w:pPr>
    </w:p>
    <w:p w14:paraId="30A7BE94" w14:textId="5B94CC7F" w:rsidR="00E07B6D" w:rsidRPr="00B16BCB" w:rsidRDefault="00B16BCB" w:rsidP="00B16BCB">
      <w:pPr>
        <w:ind w:firstLine="420"/>
        <w:rPr>
          <w:b/>
          <w:bCs/>
          <w:sz w:val="22"/>
          <w:szCs w:val="22"/>
        </w:rPr>
      </w:pPr>
      <w:r w:rsidRPr="00B16BCB">
        <w:rPr>
          <w:b/>
          <w:bCs/>
          <w:sz w:val="22"/>
          <w:szCs w:val="22"/>
        </w:rPr>
        <w:t>美国硬商品销售（Hardgoods）</w:t>
      </w:r>
    </w:p>
    <w:p w14:paraId="0F8B30E9" w14:textId="46E67670" w:rsidR="00E44F4C" w:rsidRDefault="00B16BCB" w:rsidP="00B16BCB">
      <w:pPr>
        <w:ind w:left="420" w:firstLine="420"/>
        <w:rPr>
          <w:rFonts w:hint="eastAsia"/>
          <w:sz w:val="22"/>
          <w:szCs w:val="22"/>
        </w:rPr>
      </w:pPr>
      <w:r w:rsidRPr="00B16BCB">
        <w:rPr>
          <w:sz w:val="22"/>
          <w:szCs w:val="22"/>
        </w:rPr>
        <w:t>完全不同的业务：焊接设备、切割工具、自动化设备、耗材等，属于</w:t>
      </w:r>
      <w:r w:rsidRPr="00E44F4C">
        <w:rPr>
          <w:sz w:val="22"/>
          <w:szCs w:val="22"/>
        </w:rPr>
        <w:t>包装气体（Packaged Gas）分销业务的配套销售</w:t>
      </w:r>
      <w:r w:rsidRPr="00B16BCB">
        <w:rPr>
          <w:sz w:val="22"/>
          <w:szCs w:val="22"/>
        </w:rPr>
        <w:t>。Q1说"硬货业务增长双位数，来自能源、建筑和普通金属加工领域的耗材和设备需求"。这是美国制造业复苏的领先信号</w:t>
      </w:r>
      <w:r w:rsidR="00E44F4C">
        <w:rPr>
          <w:rFonts w:hint="eastAsia"/>
          <w:sz w:val="22"/>
          <w:szCs w:val="22"/>
        </w:rPr>
        <w:t>。</w:t>
      </w:r>
    </w:p>
    <w:p w14:paraId="665B29E4" w14:textId="540D80E8" w:rsidR="00F202CC" w:rsidRDefault="00F202CC" w:rsidP="00132B67"/>
    <w:p w14:paraId="0B6A7340" w14:textId="24E84D20" w:rsidR="00152EFB" w:rsidRDefault="00152EFB" w:rsidP="00152EFB">
      <w:pPr>
        <w:pStyle w:val="3"/>
      </w:pPr>
      <w:r>
        <w:rPr>
          <w:rFonts w:hint="eastAsia"/>
        </w:rPr>
        <w:t>指引</w:t>
      </w:r>
    </w:p>
    <w:p w14:paraId="1358EA8F" w14:textId="6C5F7E4E" w:rsidR="00152EFB" w:rsidRDefault="00152EFB" w:rsidP="00132B67">
      <w:r w:rsidRPr="00152EFB">
        <w:rPr>
          <w:noProof/>
        </w:rPr>
        <w:drawing>
          <wp:inline distT="0" distB="0" distL="0" distR="0" wp14:anchorId="267D6023" wp14:editId="36ED9838">
            <wp:extent cx="6645910" cy="2753360"/>
            <wp:effectExtent l="0" t="0" r="0" b="2540"/>
            <wp:docPr id="115673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5273" name=""/>
                    <pic:cNvPicPr/>
                  </pic:nvPicPr>
                  <pic:blipFill>
                    <a:blip r:embed="rId47"/>
                    <a:stretch>
                      <a:fillRect/>
                    </a:stretch>
                  </pic:blipFill>
                  <pic:spPr>
                    <a:xfrm>
                      <a:off x="0" y="0"/>
                      <a:ext cx="6645910" cy="2753360"/>
                    </a:xfrm>
                    <a:prstGeom prst="rect">
                      <a:avLst/>
                    </a:prstGeom>
                  </pic:spPr>
                </pic:pic>
              </a:graphicData>
            </a:graphic>
          </wp:inline>
        </w:drawing>
      </w:r>
    </w:p>
    <w:p w14:paraId="33F09615" w14:textId="77777777" w:rsidR="00371DCE" w:rsidRDefault="00371DCE" w:rsidP="00371DCE">
      <w:pPr>
        <w:pStyle w:val="ae"/>
      </w:pPr>
      <w:r>
        <w:t>林德管理层的行为模式在四期业绩会中高度一致，可以用</w:t>
      </w:r>
      <w:r>
        <w:rPr>
          <w:rStyle w:val="af"/>
        </w:rPr>
        <w:t>"纪律性"</w:t>
      </w:r>
      <w:r>
        <w:t>三个字概括。</w:t>
      </w:r>
    </w:p>
    <w:p w14:paraId="2FBA6232" w14:textId="77777777" w:rsidR="00371DCE" w:rsidRDefault="00371DCE" w:rsidP="00371DCE">
      <w:pPr>
        <w:pStyle w:val="ae"/>
      </w:pPr>
      <w:r>
        <w:rPr>
          <w:rStyle w:val="af"/>
        </w:rPr>
        <w:t>指引上的极度保守不是谦虚，是刻意设计的预期管理。</w:t>
      </w:r>
      <w:r>
        <w:t xml:space="preserve"> 每次给指引都锚定"中枢假设经济无改善"，等于把宏观变量完全排除在承诺之外。这使得只要全球经济不出现显著恶化，beat就是大概率事件——连续四季兑现正是这一策略的结果。对比同业经常因为宏观预判失误而下调指引，林德的做法是永远不把自己不能控制的东西放进承诺里。</w:t>
      </w:r>
    </w:p>
    <w:p w14:paraId="1C55E558" w14:textId="77777777" w:rsidR="00371DCE" w:rsidRDefault="00371DCE" w:rsidP="00371DCE">
      <w:pPr>
        <w:pStyle w:val="ae"/>
      </w:pPr>
      <w:r>
        <w:rPr>
          <w:rStyle w:val="af"/>
        </w:rPr>
        <w:t>资本配置上表现出罕见的"既要又要还要"的能力。</w:t>
      </w:r>
      <w:r>
        <w:t xml:space="preserve"> FY2025同时实现了$57亿业务投入（+17% YoY）、$74亿股东回报、维持低杠杆，还在Q2追加了Capex指引。这背后是$104亿创纪录OCF提供的底气。管理层的资本分配优先级从行动上看很清晰：有好项目就投（backlog从$100亿推至$111亿），同时回购绝不停手（每季度$8-16亿净回购），两者不构成竞争关系。这种"现金流多到不需要做取舍"的状态，本身就是经营质量的结果。</w:t>
      </w:r>
    </w:p>
    <w:p w14:paraId="264C17E5" w14:textId="77777777" w:rsidR="00371DCE" w:rsidRDefault="00371DCE" w:rsidP="00371DCE">
      <w:pPr>
        <w:pStyle w:val="ae"/>
      </w:pPr>
      <w:r>
        <w:rPr>
          <w:rStyle w:val="af"/>
        </w:rPr>
        <w:t>对问题业务的处理方式透露了务实主义。</w:t>
      </w:r>
      <w:r>
        <w:t xml:space="preserve"> </w:t>
      </w:r>
      <w:proofErr w:type="spellStart"/>
      <w:r>
        <w:t>Lincare</w:t>
      </w:r>
      <w:proofErr w:type="spellEnd"/>
      <w:r>
        <w:t>拖累了利润率，管理层没有掩盖，连续两季度主动披露拖累幅度，换管理团队、推运营优化、同时"评估战略适配性包括部分或整体处置"——三条线并行推进。氦气业务受地缘冲击，管理层选择优先保客户供应、签新长约，而不是追逐短期现货高价。这两个案例都指向同一个特征：</w:t>
      </w:r>
      <w:r>
        <w:rPr>
          <w:rStyle w:val="af"/>
        </w:rPr>
        <w:t>不回避坏消息，用行动而非叙事解决问题。</w:t>
      </w:r>
    </w:p>
    <w:p w14:paraId="7173EFDB" w14:textId="7092039F" w:rsidR="00152EFB" w:rsidRPr="00771781" w:rsidRDefault="00371DCE" w:rsidP="00771781">
      <w:pPr>
        <w:pStyle w:val="ae"/>
      </w:pPr>
      <w:r>
        <w:rPr>
          <w:rStyle w:val="af"/>
        </w:rPr>
        <w:t>战略判断上敢于下长期赌注。</w:t>
      </w:r>
      <w:r>
        <w:t xml:space="preserve"> 电子周期"5-7年甚至更久"的判断、航天"2030年$10亿+"的目标、对绿氢泼冷水（"资本成本需降60-70%"）——这些不是模糊的方向性表态，而是带具体数字和时间框架的承诺。在Q2 backlog跳升$10亿时立刻上调Capex指引跟进，说明决策链短、执行力强。</w:t>
      </w:r>
    </w:p>
    <w:p w14:paraId="301F9434" w14:textId="77777777" w:rsidR="00371DCE" w:rsidRPr="00C85EED" w:rsidRDefault="00371DCE" w:rsidP="00132B67"/>
    <w:p w14:paraId="02F6DC6C" w14:textId="5E27D8E8" w:rsidR="008E4C75" w:rsidRDefault="008E4C75" w:rsidP="00132B67">
      <w:pPr>
        <w:pStyle w:val="3"/>
      </w:pPr>
      <w:r>
        <w:rPr>
          <w:rFonts w:hint="eastAsia"/>
        </w:rPr>
        <w:lastRenderedPageBreak/>
        <w:t>分终端市场</w:t>
      </w:r>
    </w:p>
    <w:p w14:paraId="6B3443BD" w14:textId="46A3439F" w:rsidR="00F202CC" w:rsidRDefault="00F202CC" w:rsidP="00132B67">
      <w:r>
        <w:rPr>
          <w:rFonts w:hint="eastAsia"/>
        </w:rPr>
        <w:t>下图分别是林德的季度各业务线营收占比与同比增速。</w:t>
      </w:r>
    </w:p>
    <w:p w14:paraId="46F452FF" w14:textId="50473142" w:rsidR="00C73B01" w:rsidRDefault="00C73B01" w:rsidP="00132B67">
      <w:r w:rsidRPr="00C73B01">
        <w:rPr>
          <w:noProof/>
        </w:rPr>
        <w:drawing>
          <wp:inline distT="0" distB="0" distL="0" distR="0" wp14:anchorId="56398C63" wp14:editId="4E047187">
            <wp:extent cx="6645910" cy="2247900"/>
            <wp:effectExtent l="0" t="0" r="0" b="0"/>
            <wp:docPr id="184185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0272" name=""/>
                    <pic:cNvPicPr/>
                  </pic:nvPicPr>
                  <pic:blipFill>
                    <a:blip r:embed="rId48"/>
                    <a:stretch>
                      <a:fillRect/>
                    </a:stretch>
                  </pic:blipFill>
                  <pic:spPr>
                    <a:xfrm>
                      <a:off x="0" y="0"/>
                      <a:ext cx="6645910" cy="2247900"/>
                    </a:xfrm>
                    <a:prstGeom prst="rect">
                      <a:avLst/>
                    </a:prstGeom>
                  </pic:spPr>
                </pic:pic>
              </a:graphicData>
            </a:graphic>
          </wp:inline>
        </w:drawing>
      </w:r>
    </w:p>
    <w:p w14:paraId="1C945E00" w14:textId="73C97570" w:rsidR="00F202CC" w:rsidRPr="00C1131E" w:rsidRDefault="00B104BA" w:rsidP="00132B67">
      <w:pPr>
        <w:pStyle w:val="a9"/>
        <w:numPr>
          <w:ilvl w:val="0"/>
          <w:numId w:val="16"/>
        </w:numPr>
        <w:rPr>
          <w:b/>
          <w:bCs/>
        </w:rPr>
      </w:pPr>
      <w:r w:rsidRPr="00C1131E">
        <w:rPr>
          <w:rFonts w:hint="eastAsia"/>
          <w:b/>
          <w:bCs/>
        </w:rPr>
        <w:t>消费相关市场</w:t>
      </w:r>
    </w:p>
    <w:p w14:paraId="6D56D27C" w14:textId="2AAD2ECD" w:rsidR="00B104BA" w:rsidRDefault="00C1131E" w:rsidP="00132B67">
      <w:r>
        <w:rPr>
          <w:rFonts w:hint="eastAsia"/>
        </w:rPr>
        <w:t>消费相关市场</w:t>
      </w:r>
      <w:r w:rsidR="00DC035D">
        <w:rPr>
          <w:rFonts w:hint="eastAsia"/>
        </w:rPr>
        <w:t>占全球销售额约1/3，韧性较强。</w:t>
      </w:r>
    </w:p>
    <w:p w14:paraId="1D887944" w14:textId="35A8BFBA" w:rsidR="00DC035D" w:rsidRPr="00DC1F08" w:rsidRDefault="00DC1F08" w:rsidP="00132B67">
      <w:pPr>
        <w:rPr>
          <w:b/>
          <w:bCs/>
        </w:rPr>
      </w:pPr>
      <w:r w:rsidRPr="00DC1F08">
        <w:rPr>
          <w:rFonts w:hint="eastAsia"/>
          <w:b/>
          <w:bCs/>
        </w:rPr>
        <w:t>医疗健康</w:t>
      </w:r>
    </w:p>
    <w:p w14:paraId="7A733766" w14:textId="13BE8513" w:rsidR="00DF4ACB" w:rsidRDefault="00F75F8B" w:rsidP="00132B67">
      <w:r w:rsidRPr="00F75F8B">
        <w:rPr>
          <w:noProof/>
        </w:rPr>
        <w:drawing>
          <wp:inline distT="0" distB="0" distL="0" distR="0" wp14:anchorId="0F03D524" wp14:editId="79A32310">
            <wp:extent cx="5461000" cy="771198"/>
            <wp:effectExtent l="0" t="0" r="0" b="3810"/>
            <wp:docPr id="143856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3895" name=""/>
                    <pic:cNvPicPr/>
                  </pic:nvPicPr>
                  <pic:blipFill>
                    <a:blip r:embed="rId49"/>
                    <a:stretch>
                      <a:fillRect/>
                    </a:stretch>
                  </pic:blipFill>
                  <pic:spPr>
                    <a:xfrm>
                      <a:off x="0" y="0"/>
                      <a:ext cx="5551782" cy="784018"/>
                    </a:xfrm>
                    <a:prstGeom prst="rect">
                      <a:avLst/>
                    </a:prstGeom>
                  </pic:spPr>
                </pic:pic>
              </a:graphicData>
            </a:graphic>
          </wp:inline>
        </w:drawing>
      </w:r>
    </w:p>
    <w:p w14:paraId="6DFE3E7E" w14:textId="15BE6370" w:rsidR="00C1131E" w:rsidRDefault="00F75F8B" w:rsidP="00132B67">
      <w:r>
        <w:t>连续四季度同比+1%到+2%，环比也窄幅波动在0-1%——这是全部六个市场中</w:t>
      </w:r>
      <w:r>
        <w:rPr>
          <w:rStyle w:val="af"/>
        </w:rPr>
        <w:t>波动率最低</w:t>
      </w:r>
      <w:r>
        <w:t>的板块。占比恒定在16%，既不扩张也不收缩。</w:t>
      </w:r>
    </w:p>
    <w:p w14:paraId="01920A97" w14:textId="5AE3658B" w:rsidR="00C1131E" w:rsidRDefault="00F75F8B" w:rsidP="00132B67">
      <w:r>
        <w:t>增速之所以"压"在低位，不是行业本身的问题，而是美国家庭护理业务</w:t>
      </w:r>
      <w:proofErr w:type="spellStart"/>
      <w:r>
        <w:t>Lincare</w:t>
      </w:r>
      <w:proofErr w:type="spellEnd"/>
      <w:r>
        <w:t>的拖累。Q1业绩会明确说"美国新医疗政策导致特定设备相关服务减少，未来数个季度将维持持平"；Q2进一步披露</w:t>
      </w:r>
      <w:proofErr w:type="spellStart"/>
      <w:r>
        <w:t>Lincare</w:t>
      </w:r>
      <w:proofErr w:type="spellEnd"/>
      <w:r>
        <w:t>是利润率下滑的核心拖累，公司已更换管理团队，并"正在对该业务的战略适配性进行评估，包括部分或整体处置的可能性"。</w:t>
      </w:r>
      <w:r w:rsidRPr="00E21852">
        <w:rPr>
          <w:rStyle w:val="af"/>
          <w:b w:val="0"/>
          <w:bCs w:val="0"/>
        </w:rPr>
        <w:t>剔除</w:t>
      </w:r>
      <w:proofErr w:type="spellStart"/>
      <w:r w:rsidRPr="00E21852">
        <w:rPr>
          <w:rStyle w:val="af"/>
          <w:b w:val="0"/>
          <w:bCs w:val="0"/>
        </w:rPr>
        <w:t>Lincare</w:t>
      </w:r>
      <w:proofErr w:type="spellEnd"/>
      <w:r w:rsidRPr="00E21852">
        <w:rPr>
          <w:rStyle w:val="af"/>
          <w:b w:val="0"/>
          <w:bCs w:val="0"/>
        </w:rPr>
        <w:t>后，全球医疗健康业务实际增速应高于报表显示的+1-2%。</w:t>
      </w:r>
    </w:p>
    <w:p w14:paraId="3A1F3948" w14:textId="77777777" w:rsidR="00C1131E" w:rsidRDefault="00C1131E" w:rsidP="00132B67"/>
    <w:p w14:paraId="74E54A42" w14:textId="774E9061" w:rsidR="003D5898" w:rsidRPr="007E28E4" w:rsidRDefault="007E28E4" w:rsidP="00132B67">
      <w:pPr>
        <w:rPr>
          <w:b/>
          <w:bCs/>
        </w:rPr>
      </w:pPr>
      <w:r w:rsidRPr="007E28E4">
        <w:rPr>
          <w:rFonts w:hint="eastAsia"/>
          <w:b/>
          <w:bCs/>
        </w:rPr>
        <w:t>食品饮料</w:t>
      </w:r>
    </w:p>
    <w:p w14:paraId="1A031135" w14:textId="7A3A0382" w:rsidR="003D5898" w:rsidRDefault="0012635D" w:rsidP="00132B67">
      <w:r w:rsidRPr="0012635D">
        <w:rPr>
          <w:noProof/>
        </w:rPr>
        <w:drawing>
          <wp:inline distT="0" distB="0" distL="0" distR="0" wp14:anchorId="1EA582B2" wp14:editId="12BF8E7B">
            <wp:extent cx="5461000" cy="773285"/>
            <wp:effectExtent l="0" t="0" r="0" b="1905"/>
            <wp:docPr id="31709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8210" name=""/>
                    <pic:cNvPicPr/>
                  </pic:nvPicPr>
                  <pic:blipFill>
                    <a:blip r:embed="rId50"/>
                    <a:stretch>
                      <a:fillRect/>
                    </a:stretch>
                  </pic:blipFill>
                  <pic:spPr>
                    <a:xfrm>
                      <a:off x="0" y="0"/>
                      <a:ext cx="5553734" cy="786416"/>
                    </a:xfrm>
                    <a:prstGeom prst="rect">
                      <a:avLst/>
                    </a:prstGeom>
                  </pic:spPr>
                </pic:pic>
              </a:graphicData>
            </a:graphic>
          </wp:inline>
        </w:drawing>
      </w:r>
    </w:p>
    <w:p w14:paraId="618C62AC" w14:textId="77777777" w:rsidR="00E50975" w:rsidRDefault="00E50975" w:rsidP="00132B67">
      <w:r>
        <w:t>同比增速在+3%到+5%间波动，环比呈现明显的季节性特征——Q2环比+5%受夏季饮料旺季驱动，Q4/Q1环比为负是淡季效应。</w:t>
      </w:r>
    </w:p>
    <w:p w14:paraId="61B25B37" w14:textId="77777777" w:rsidR="00E50975" w:rsidRDefault="00E50975" w:rsidP="00132B67">
      <w:r>
        <w:t>Q3业绩会定性为"受消费趋势和创新应用技术推动，继续以低至中个位数增长，是投资组合中提供稳定增长且极具韧性的部分"。Q1业绩会补充了增长来源："美国饮料业务的新服务、新应用需求提升，以及南北美洲传统灌装、食品冷冻业务的强劲表现"，并指出"过去数年保持中高个位数增长"。</w:t>
      </w:r>
    </w:p>
    <w:p w14:paraId="12623B0E" w14:textId="77777777" w:rsidR="00E50975" w:rsidRDefault="00E50975" w:rsidP="00132B67">
      <w:r>
        <w:t>这是一个</w:t>
      </w:r>
      <w:r w:rsidRPr="00E50975">
        <w:rPr>
          <w:b/>
          <w:bCs/>
        </w:rPr>
        <w:t>不引人注目但持续复利</w:t>
      </w:r>
      <w:r>
        <w:t>的板块——没有爆发性增长，但抗周期性极强，与工业景气完全脱钩。</w:t>
      </w:r>
    </w:p>
    <w:p w14:paraId="46FA4DAD" w14:textId="77777777" w:rsidR="00132B67" w:rsidRPr="00E50975" w:rsidRDefault="00132B67" w:rsidP="00132B67"/>
    <w:p w14:paraId="501E3330" w14:textId="7DEB3BD4" w:rsidR="007E28E4" w:rsidRPr="00AB235F" w:rsidRDefault="00AB235F" w:rsidP="00132B67">
      <w:pPr>
        <w:rPr>
          <w:b/>
          <w:bCs/>
        </w:rPr>
      </w:pPr>
      <w:r w:rsidRPr="00AB235F">
        <w:rPr>
          <w:rFonts w:hint="eastAsia"/>
          <w:b/>
          <w:bCs/>
        </w:rPr>
        <w:t>电子</w:t>
      </w:r>
    </w:p>
    <w:p w14:paraId="29AC72FF" w14:textId="54FE7326" w:rsidR="007E28E4" w:rsidRDefault="00C56DF4" w:rsidP="00132B67">
      <w:r w:rsidRPr="00C56DF4">
        <w:rPr>
          <w:noProof/>
        </w:rPr>
        <w:drawing>
          <wp:inline distT="0" distB="0" distL="0" distR="0" wp14:anchorId="40945A83" wp14:editId="50A3F694">
            <wp:extent cx="5461000" cy="760762"/>
            <wp:effectExtent l="0" t="0" r="0" b="1270"/>
            <wp:docPr id="1988278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8765" name=""/>
                    <pic:cNvPicPr/>
                  </pic:nvPicPr>
                  <pic:blipFill>
                    <a:blip r:embed="rId51"/>
                    <a:stretch>
                      <a:fillRect/>
                    </a:stretch>
                  </pic:blipFill>
                  <pic:spPr>
                    <a:xfrm>
                      <a:off x="0" y="0"/>
                      <a:ext cx="5510970" cy="767723"/>
                    </a:xfrm>
                    <a:prstGeom prst="rect">
                      <a:avLst/>
                    </a:prstGeom>
                  </pic:spPr>
                </pic:pic>
              </a:graphicData>
            </a:graphic>
          </wp:inline>
        </w:drawing>
      </w:r>
    </w:p>
    <w:p w14:paraId="3BD45C74" w14:textId="77777777" w:rsidR="00132B67" w:rsidRDefault="00132B67" w:rsidP="00132B67">
      <w:pPr>
        <w:pStyle w:val="ae"/>
      </w:pPr>
      <w:r>
        <w:rPr>
          <w:rStyle w:val="af"/>
        </w:rPr>
        <w:lastRenderedPageBreak/>
        <w:t>这是林德当前最重要的增长叙事。</w:t>
      </w:r>
      <w:r>
        <w:t xml:space="preserve"> 四个季度的加速曲线无可争议：+6%→+7%→+10%→+18%，增速在四个季度内翻了3倍。占比从9%升至10%并稳定——结构性份额扩张已经开始。</w:t>
      </w:r>
    </w:p>
    <w:p w14:paraId="5CEBA14F" w14:textId="77777777" w:rsidR="00132B67" w:rsidRDefault="00132B67" w:rsidP="00132B67">
      <w:pPr>
        <w:pStyle w:val="ae"/>
      </w:pPr>
      <w:r>
        <w:t>从增长来源拆解（综合四期业绩会）：</w:t>
      </w:r>
    </w:p>
    <w:p w14:paraId="5698455D" w14:textId="77777777" w:rsidR="00132B67" w:rsidRDefault="00132B67" w:rsidP="00132B67">
      <w:pPr>
        <w:numPr>
          <w:ilvl w:val="0"/>
          <w:numId w:val="17"/>
        </w:numPr>
        <w:spacing w:before="100" w:beforeAutospacing="1" w:after="100" w:afterAutospacing="1"/>
      </w:pPr>
      <w:r>
        <w:rPr>
          <w:rStyle w:val="af"/>
        </w:rPr>
        <w:t>项目投产</w:t>
      </w:r>
      <w:r>
        <w:t>（supply-side）：现有在手订单中的晶圆厂气体供应合同逐步启动，Q3提到"现场项目启动与加工气体和先进材料需求各占一半"推动增长</w:t>
      </w:r>
    </w:p>
    <w:p w14:paraId="2AA9EFAE" w14:textId="77777777" w:rsidR="00132B67" w:rsidRDefault="00132B67" w:rsidP="00132B67">
      <w:pPr>
        <w:numPr>
          <w:ilvl w:val="0"/>
          <w:numId w:val="17"/>
        </w:numPr>
        <w:spacing w:before="100" w:beforeAutospacing="1" w:after="100" w:afterAutospacing="1"/>
      </w:pPr>
      <w:r>
        <w:rPr>
          <w:rStyle w:val="af"/>
        </w:rPr>
        <w:t>AI驱动需求</w:t>
      </w:r>
      <w:r>
        <w:t>（demand-side）：Q2明确说"增长来自项目投产和AI相关硬件需求提升"，先进制程芯片对工业气体的使用强度更高</w:t>
      </w:r>
    </w:p>
    <w:p w14:paraId="545CB975" w14:textId="3623813F" w:rsidR="00132B67" w:rsidRDefault="00132B67" w:rsidP="00132B67">
      <w:pPr>
        <w:numPr>
          <w:ilvl w:val="0"/>
          <w:numId w:val="17"/>
        </w:numPr>
        <w:spacing w:before="100" w:beforeAutospacing="1" w:after="100" w:afterAutospacing="1"/>
      </w:pPr>
      <w:r>
        <w:rPr>
          <w:rStyle w:val="af"/>
        </w:rPr>
        <w:t>地理分布</w:t>
      </w:r>
      <w:r>
        <w:t>：Q3增长集中在韩国、</w:t>
      </w:r>
      <w:r w:rsidR="00B17A85">
        <w:rPr>
          <w:rFonts w:hint="eastAsia"/>
        </w:rPr>
        <w:t>中国</w:t>
      </w:r>
      <w:r>
        <w:t>台湾和美国，中国和东南亚需求偏弱；到Q1"增长集中在美国、中国和韩国"，地理面在扩散</w:t>
      </w:r>
    </w:p>
    <w:p w14:paraId="62E70E3B" w14:textId="0CB010C3" w:rsidR="003D5898" w:rsidRDefault="00132B67" w:rsidP="00132B67">
      <w:pPr>
        <w:numPr>
          <w:ilvl w:val="0"/>
          <w:numId w:val="17"/>
        </w:numPr>
        <w:spacing w:before="100" w:beforeAutospacing="1" w:after="100" w:afterAutospacing="1"/>
      </w:pPr>
      <w:r>
        <w:rPr>
          <w:rStyle w:val="af"/>
        </w:rPr>
        <w:t>在手订单爆发</w:t>
      </w:r>
      <w:r>
        <w:t>：SOG backlog从Q3的$71亿→Q4的$73亿→Q1维持$71亿→Q2飙升至$81亿（单季+$10亿，来自美国电子订单）</w:t>
      </w:r>
    </w:p>
    <w:p w14:paraId="0CA1AC0D" w14:textId="77777777" w:rsidR="006B5CB4" w:rsidRDefault="006B5CB4" w:rsidP="006B5CB4">
      <w:pPr>
        <w:pStyle w:val="ae"/>
      </w:pPr>
      <w:r>
        <w:t>管理层对持续性极为乐观。Q3业绩会明确判断"电子行业资本支出周期预计将持续未来5至7年甚至更久"，Q2进一步确认"长期将是公司待执行订单的最大贡献来源和增速最高的市场之一"。</w:t>
      </w:r>
    </w:p>
    <w:p w14:paraId="6D882A8C" w14:textId="77777777" w:rsidR="00E26656" w:rsidRDefault="00E26656" w:rsidP="00E26656">
      <w:r>
        <w:t>2026年7月31日林德发布的公告是</w:t>
      </w:r>
      <w:r w:rsidRPr="001A6612">
        <w:rPr>
          <w:rStyle w:val="af"/>
          <w:b w:val="0"/>
          <w:bCs w:val="0"/>
        </w:rPr>
        <w:t>一笔18亿美元的"打包式"投资承诺</w:t>
      </w:r>
      <w:r>
        <w:t>，服务于同一家全球领先半导体制造商（虽然公告未点名，但业内普遍确认为</w:t>
      </w:r>
      <w:r>
        <w:rPr>
          <w:rStyle w:val="af"/>
        </w:rPr>
        <w:t>台积电 TSMC</w:t>
      </w:r>
      <w:r>
        <w:t>）的全球产能扩张</w:t>
      </w:r>
      <w:r>
        <w:rPr>
          <w:rFonts w:hint="eastAsia"/>
        </w:rPr>
        <w:t>。</w:t>
      </w:r>
    </w:p>
    <w:p w14:paraId="1BD5234A" w14:textId="77777777" w:rsidR="00E26656" w:rsidRDefault="00E26656" w:rsidP="00E26656">
      <w:r w:rsidRPr="001A6612">
        <w:rPr>
          <w:noProof/>
        </w:rPr>
        <w:drawing>
          <wp:inline distT="0" distB="0" distL="0" distR="0" wp14:anchorId="4630DEBF" wp14:editId="5BDE310F">
            <wp:extent cx="5901267" cy="2866620"/>
            <wp:effectExtent l="0" t="0" r="4445" b="3810"/>
            <wp:docPr id="178062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89381" name=""/>
                    <pic:cNvPicPr/>
                  </pic:nvPicPr>
                  <pic:blipFill>
                    <a:blip r:embed="rId52"/>
                    <a:stretch>
                      <a:fillRect/>
                    </a:stretch>
                  </pic:blipFill>
                  <pic:spPr>
                    <a:xfrm>
                      <a:off x="0" y="0"/>
                      <a:ext cx="5920603" cy="2876013"/>
                    </a:xfrm>
                    <a:prstGeom prst="rect">
                      <a:avLst/>
                    </a:prstGeom>
                  </pic:spPr>
                </pic:pic>
              </a:graphicData>
            </a:graphic>
          </wp:inline>
        </w:drawing>
      </w:r>
    </w:p>
    <w:p w14:paraId="5AB78D0C" w14:textId="77777777" w:rsidR="00E26656" w:rsidRPr="00E26656" w:rsidRDefault="00E26656" w:rsidP="00E26656">
      <w:r w:rsidRPr="00E26656">
        <w:t>联华林德</w:t>
      </w:r>
    </w:p>
    <w:p w14:paraId="4EAAE3EB" w14:textId="77777777" w:rsidR="00E26656" w:rsidRDefault="00E26656" w:rsidP="00E26656">
      <w:pPr>
        <w:numPr>
          <w:ilvl w:val="0"/>
          <w:numId w:val="8"/>
        </w:numPr>
        <w:spacing w:before="100" w:beforeAutospacing="1" w:after="100" w:afterAutospacing="1"/>
      </w:pPr>
      <w:r>
        <w:t>成立于1985年，由台湾</w:t>
      </w:r>
      <w:r>
        <w:rPr>
          <w:rStyle w:val="af"/>
        </w:rPr>
        <w:t>联华实业控股</w:t>
      </w:r>
      <w:r>
        <w:t>（联华神通集团旗下）与当时的BOC合资，2006年BOC被林德收购后，2011年更名为"联华林德"</w:t>
      </w:r>
    </w:p>
    <w:p w14:paraId="0CF6910E" w14:textId="77777777" w:rsidR="00E26656" w:rsidRDefault="00E26656" w:rsidP="00E26656">
      <w:pPr>
        <w:numPr>
          <w:ilvl w:val="0"/>
          <w:numId w:val="8"/>
        </w:numPr>
        <w:spacing w:before="100" w:beforeAutospacing="1" w:after="100" w:afterAutospacing="1"/>
      </w:pPr>
      <w:r>
        <w:rPr>
          <w:rStyle w:val="af"/>
        </w:rPr>
        <w:t>持股结构：林德50% / 联华实业50%</w:t>
      </w:r>
      <w:r>
        <w:t>，是一家非并表的合资公司</w:t>
      </w:r>
    </w:p>
    <w:p w14:paraId="6A278207" w14:textId="77777777" w:rsidR="00E26656" w:rsidRDefault="00E26656" w:rsidP="00E26656">
      <w:pPr>
        <w:numPr>
          <w:ilvl w:val="0"/>
          <w:numId w:val="8"/>
        </w:numPr>
        <w:spacing w:before="100" w:beforeAutospacing="1" w:after="100" w:afterAutospacing="1"/>
      </w:pPr>
      <w:r>
        <w:t>台湾最大的工业气体制造商，业务100%面向电子行业（约40%半导体、40%面板、20%LED/太阳能）</w:t>
      </w:r>
    </w:p>
    <w:p w14:paraId="08B42C60" w14:textId="77777777" w:rsidR="00E26656" w:rsidRDefault="00E26656" w:rsidP="00E26656">
      <w:pPr>
        <w:numPr>
          <w:ilvl w:val="0"/>
          <w:numId w:val="8"/>
        </w:numPr>
        <w:spacing w:before="100" w:beforeAutospacing="1" w:after="100" w:afterAutospacing="1"/>
      </w:pPr>
      <w:r>
        <w:t>已是台积电的长期供气商——2019年也曾宣布投资约1亿美元为台湾某大型电子客户新建3套高纯度现场制气工厂</w:t>
      </w:r>
    </w:p>
    <w:p w14:paraId="03170C96" w14:textId="77777777" w:rsidR="00E26656" w:rsidRDefault="00E26656" w:rsidP="00E26656">
      <w:r>
        <w:rPr>
          <w:rFonts w:hint="eastAsia"/>
        </w:rPr>
        <w:t>26Q1中指出“</w:t>
      </w:r>
      <w:r>
        <w:t>中国台湾地区的大额电子业务为50%持股的非并表合资企业</w:t>
      </w:r>
      <w:r>
        <w:rPr>
          <w:rFonts w:hint="eastAsia"/>
        </w:rPr>
        <w:t>”，因此</w:t>
      </w:r>
      <w:r>
        <w:t>联华林德的8亿美元投资和后续产生的收入/利润</w:t>
      </w:r>
      <w:r w:rsidRPr="006F17C4">
        <w:rPr>
          <w:rStyle w:val="af"/>
          <w:b w:val="0"/>
          <w:bCs w:val="0"/>
        </w:rPr>
        <w:t>不体现在林德的合并收入和EPS中</w:t>
      </w:r>
      <w:r>
        <w:t>——林德只按权益法确认50%的净利润份额，归入"权益法投资收益"</w:t>
      </w:r>
      <w:r>
        <w:rPr>
          <w:rFonts w:hint="eastAsia"/>
        </w:rPr>
        <w:t>。</w:t>
      </w:r>
      <w:r>
        <w:t>这意味着：</w:t>
      </w:r>
    </w:p>
    <w:p w14:paraId="264A8254" w14:textId="77777777" w:rsidR="00E26656" w:rsidRDefault="00E26656" w:rsidP="00E26656">
      <w:pPr>
        <w:numPr>
          <w:ilvl w:val="0"/>
          <w:numId w:val="9"/>
        </w:numPr>
        <w:spacing w:before="100" w:beforeAutospacing="1" w:after="100" w:afterAutospacing="1"/>
      </w:pPr>
      <w:r>
        <w:t>81亿美元的创纪录backlog不含这8亿美元——如果按权益法口径折算进来，backlog实质上更大</w:t>
      </w:r>
    </w:p>
    <w:p w14:paraId="13768DF6" w14:textId="77777777" w:rsidR="00E26656" w:rsidRDefault="00E26656" w:rsidP="00E26656">
      <w:pPr>
        <w:numPr>
          <w:ilvl w:val="0"/>
          <w:numId w:val="9"/>
        </w:numPr>
        <w:spacing w:before="100" w:beforeAutospacing="1" w:after="100" w:afterAutospacing="1"/>
      </w:pPr>
      <w:r>
        <w:lastRenderedPageBreak/>
        <w:t>电子业务Q2同比+18%的增速也不含台湾联华林德的贡献——如果含进来增速更高</w:t>
      </w:r>
    </w:p>
    <w:p w14:paraId="4ED0290C" w14:textId="77777777" w:rsidR="006B5CB4" w:rsidRPr="00E26656" w:rsidRDefault="006B5CB4" w:rsidP="00132B67"/>
    <w:p w14:paraId="441325F0" w14:textId="2B969F5D" w:rsidR="006B5CB4" w:rsidRPr="000427F2" w:rsidRDefault="008B482D" w:rsidP="008B482D">
      <w:pPr>
        <w:pStyle w:val="a9"/>
        <w:numPr>
          <w:ilvl w:val="0"/>
          <w:numId w:val="16"/>
        </w:numPr>
        <w:rPr>
          <w:b/>
          <w:bCs/>
        </w:rPr>
      </w:pPr>
      <w:r w:rsidRPr="000427F2">
        <w:rPr>
          <w:rFonts w:hint="eastAsia"/>
          <w:b/>
          <w:bCs/>
        </w:rPr>
        <w:t>工业相关市场</w:t>
      </w:r>
    </w:p>
    <w:p w14:paraId="0B2BD4FD" w14:textId="0BEC8348" w:rsidR="008B482D" w:rsidRPr="009216A9" w:rsidRDefault="009216A9" w:rsidP="008B482D">
      <w:pPr>
        <w:rPr>
          <w:b/>
          <w:bCs/>
        </w:rPr>
      </w:pPr>
      <w:r w:rsidRPr="009216A9">
        <w:rPr>
          <w:rFonts w:hint="eastAsia"/>
          <w:b/>
          <w:bCs/>
        </w:rPr>
        <w:t>制造业</w:t>
      </w:r>
    </w:p>
    <w:p w14:paraId="3784FFC7" w14:textId="71642F22" w:rsidR="008B482D" w:rsidRDefault="008C7D5E" w:rsidP="008B482D">
      <w:r w:rsidRPr="008C7D5E">
        <w:rPr>
          <w:noProof/>
        </w:rPr>
        <w:drawing>
          <wp:inline distT="0" distB="0" distL="0" distR="0" wp14:anchorId="2B7120EA" wp14:editId="176CFE91">
            <wp:extent cx="5884333" cy="825358"/>
            <wp:effectExtent l="0" t="0" r="0" b="635"/>
            <wp:docPr id="1716145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5947" name=""/>
                    <pic:cNvPicPr/>
                  </pic:nvPicPr>
                  <pic:blipFill>
                    <a:blip r:embed="rId53"/>
                    <a:stretch>
                      <a:fillRect/>
                    </a:stretch>
                  </pic:blipFill>
                  <pic:spPr>
                    <a:xfrm>
                      <a:off x="0" y="0"/>
                      <a:ext cx="5940454" cy="833230"/>
                    </a:xfrm>
                    <a:prstGeom prst="rect">
                      <a:avLst/>
                    </a:prstGeom>
                  </pic:spPr>
                </pic:pic>
              </a:graphicData>
            </a:graphic>
          </wp:inline>
        </w:drawing>
      </w:r>
    </w:p>
    <w:p w14:paraId="352F0266" w14:textId="77777777" w:rsidR="00790FEE" w:rsidRDefault="00790FEE" w:rsidP="00790FEE">
      <w:pPr>
        <w:pStyle w:val="ae"/>
      </w:pPr>
      <w:r>
        <w:t>增速从+2-3%台阶跳升至+5%台阶，且Q2环比+4%显示动能在增强。占比稳定在21%，是所有市场中最大的单一板块。</w:t>
      </w:r>
    </w:p>
    <w:p w14:paraId="677BD600" w14:textId="77777777" w:rsidR="00790FEE" w:rsidRDefault="00790FEE" w:rsidP="00790FEE">
      <w:pPr>
        <w:pStyle w:val="ae"/>
      </w:pPr>
      <w:r>
        <w:t>增长结构在四个季度中发生了重要变化。Q3增长来源较分散（"美国制造业活动回升+包装气体中个位数增长+硬商品销售中个位数增长"），但从Q1开始，</w:t>
      </w:r>
      <w:r>
        <w:rPr>
          <w:rStyle w:val="af"/>
        </w:rPr>
        <w:t>商业航天成为制造业增长的核心驱动力</w:t>
      </w:r>
      <w:r>
        <w:t>——Q1明确说"一半增长来自美国航空航天领域"，Q2进一步确认"航空航天业务贡献了制造业增长的三分之一以上"，该细分领域持续保持两位数增长。</w:t>
      </w:r>
    </w:p>
    <w:p w14:paraId="14CD9AC4" w14:textId="77777777" w:rsidR="00790FEE" w:rsidRDefault="00790FEE" w:rsidP="00790FEE">
      <w:pPr>
        <w:pStyle w:val="ae"/>
      </w:pPr>
      <w:r>
        <w:t>管理层对航天业务的定位已经从"新兴机会"升级为"战略级业务"：Q1首次披露"预计2030年商业航天市场将带来超过10亿美元的收入机会"，Q2维持该预期并表示"待业务达到一定规模后会在下游市场披露中单独拆分"。目前航天收入仍计入制造业板块，一旦拆分，制造业剔除航天后的基础增速将回落至低个位数。</w:t>
      </w:r>
    </w:p>
    <w:p w14:paraId="3E749A77" w14:textId="13510041" w:rsidR="00244990" w:rsidRPr="00B42FC0" w:rsidRDefault="00B42FC0" w:rsidP="008B482D">
      <w:pPr>
        <w:rPr>
          <w:b/>
          <w:bCs/>
        </w:rPr>
      </w:pPr>
      <w:r w:rsidRPr="00B42FC0">
        <w:rPr>
          <w:rFonts w:hint="eastAsia"/>
          <w:b/>
          <w:bCs/>
        </w:rPr>
        <w:t>化工与能源</w:t>
      </w:r>
    </w:p>
    <w:p w14:paraId="080C459D" w14:textId="514555E0" w:rsidR="00244990" w:rsidRDefault="00706617" w:rsidP="008B482D">
      <w:r w:rsidRPr="00706617">
        <w:rPr>
          <w:noProof/>
        </w:rPr>
        <w:drawing>
          <wp:inline distT="0" distB="0" distL="0" distR="0" wp14:anchorId="6BFC49BD" wp14:editId="68FC159D">
            <wp:extent cx="5731933" cy="812745"/>
            <wp:effectExtent l="0" t="0" r="0" b="635"/>
            <wp:docPr id="95501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5118" name=""/>
                    <pic:cNvPicPr/>
                  </pic:nvPicPr>
                  <pic:blipFill>
                    <a:blip r:embed="rId54"/>
                    <a:stretch>
                      <a:fillRect/>
                    </a:stretch>
                  </pic:blipFill>
                  <pic:spPr>
                    <a:xfrm>
                      <a:off x="0" y="0"/>
                      <a:ext cx="5784689" cy="820225"/>
                    </a:xfrm>
                    <a:prstGeom prst="rect">
                      <a:avLst/>
                    </a:prstGeom>
                  </pic:spPr>
                </pic:pic>
              </a:graphicData>
            </a:graphic>
          </wp:inline>
        </w:drawing>
      </w:r>
    </w:p>
    <w:p w14:paraId="67A19405" w14:textId="77777777" w:rsidR="00F830CA" w:rsidRDefault="00F830CA" w:rsidP="00F830CA">
      <w:pPr>
        <w:pStyle w:val="ae"/>
      </w:pPr>
      <w:r>
        <w:t>占比20-22%（仅次于制造业的第二大板块），但增速始终在+1%到+3%之间低位徘徊——是六大市场中</w:t>
      </w:r>
      <w:r>
        <w:rPr>
          <w:rStyle w:val="af"/>
        </w:rPr>
        <w:t>增长最弱、确定性最低</w:t>
      </w:r>
      <w:r>
        <w:t>的板块。Q3业绩会直接定性为"目前最具挑战的终端市场之一"。</w:t>
      </w:r>
    </w:p>
    <w:p w14:paraId="3CB862AD" w14:textId="77777777" w:rsidR="00F830CA" w:rsidRDefault="00F830CA" w:rsidP="00F830CA">
      <w:pPr>
        <w:pStyle w:val="ae"/>
      </w:pPr>
      <w:r>
        <w:t>Q3环比-5%的深跌尤其值得关注——反映欧洲化工产能合理化和全球需求疲软的冲击。后续三个季度环比修复（+2%→+1%→+4%），但更多是低基数效应而非需求实质改善。</w:t>
      </w:r>
    </w:p>
    <w:p w14:paraId="08AE5F0B" w14:textId="77777777" w:rsidR="00F830CA" w:rsidRDefault="00F830CA" w:rsidP="00F830CA">
      <w:pPr>
        <w:pStyle w:val="ae"/>
      </w:pPr>
      <w:r>
        <w:t>地区格局高度分化：</w:t>
      </w:r>
    </w:p>
    <w:p w14:paraId="2480D475" w14:textId="77777777" w:rsidR="00F830CA" w:rsidRDefault="00F830CA" w:rsidP="00F830CA">
      <w:pPr>
        <w:numPr>
          <w:ilvl w:val="0"/>
          <w:numId w:val="18"/>
        </w:numPr>
        <w:spacing w:before="100" w:beforeAutospacing="1" w:after="100" w:afterAutospacing="1"/>
      </w:pPr>
      <w:r>
        <w:rPr>
          <w:rStyle w:val="af"/>
        </w:rPr>
        <w:t>美洲</w:t>
      </w:r>
      <w:r>
        <w:t>是正面贡献者——美国墨西哥湾沿岸炼厂具备高复杂度优势（Q1业绩会："高尼尔森复杂度，可加工多种原油，处于非常有利的竞争地位"），拉丁美洲上游能源需求受油价支撑</w:t>
      </w:r>
    </w:p>
    <w:p w14:paraId="7D634D77" w14:textId="77777777" w:rsidR="00F830CA" w:rsidRDefault="00F830CA" w:rsidP="00F830CA">
      <w:pPr>
        <w:numPr>
          <w:ilvl w:val="0"/>
          <w:numId w:val="18"/>
        </w:numPr>
        <w:spacing w:before="100" w:beforeAutospacing="1" w:after="100" w:afterAutospacing="1"/>
      </w:pPr>
      <w:r>
        <w:rPr>
          <w:rStyle w:val="af"/>
        </w:rPr>
        <w:t>亚太</w:t>
      </w:r>
      <w:r>
        <w:t>有结构性亮点——中国煤化工具备本土原料优势，裕廊岛综合体近期投资贡献增量</w:t>
      </w:r>
    </w:p>
    <w:p w14:paraId="659FBA93" w14:textId="77777777" w:rsidR="00F830CA" w:rsidRDefault="00F830CA" w:rsidP="00F830CA">
      <w:pPr>
        <w:numPr>
          <w:ilvl w:val="0"/>
          <w:numId w:val="18"/>
        </w:numPr>
        <w:spacing w:before="100" w:beforeAutospacing="1" w:after="100" w:afterAutospacing="1"/>
      </w:pPr>
      <w:r>
        <w:rPr>
          <w:rStyle w:val="af"/>
        </w:rPr>
        <w:t>EMEA</w:t>
      </w:r>
      <w:r>
        <w:t>是持续拖累——"现场客户将生产转移至欧洲大陆外更具竞争力的资产"，化工产能在向美洲和亚太转移</w:t>
      </w:r>
    </w:p>
    <w:p w14:paraId="3BC58C45" w14:textId="77777777" w:rsidR="00F830CA" w:rsidRDefault="00F830CA" w:rsidP="00F830CA">
      <w:pPr>
        <w:pStyle w:val="ae"/>
      </w:pPr>
      <w:r>
        <w:t>Q2业绩会对该板块的判断仍然谨慎："表现参差不齐，仅实现低个位数增长...没有看到基本面的根本性转变"。这是一个需要等待全球化工周期拐点的板块，</w:t>
      </w:r>
      <w:r>
        <w:rPr>
          <w:rStyle w:val="af"/>
        </w:rPr>
        <w:t>目前没有独立的催化剂</w:t>
      </w:r>
      <w:r>
        <w:t>。</w:t>
      </w:r>
    </w:p>
    <w:p w14:paraId="3167CA0F" w14:textId="77777777" w:rsidR="00244990" w:rsidRPr="00F830CA" w:rsidRDefault="00244990" w:rsidP="008B482D"/>
    <w:p w14:paraId="4C7F67D9" w14:textId="560365CF" w:rsidR="00244990" w:rsidRPr="00F830CA" w:rsidRDefault="00F830CA" w:rsidP="008B482D">
      <w:pPr>
        <w:rPr>
          <w:b/>
          <w:bCs/>
        </w:rPr>
      </w:pPr>
      <w:r w:rsidRPr="00F830CA">
        <w:rPr>
          <w:rFonts w:hint="eastAsia"/>
          <w:b/>
          <w:bCs/>
        </w:rPr>
        <w:t>金属与采矿</w:t>
      </w:r>
    </w:p>
    <w:p w14:paraId="31AAFA80" w14:textId="262E8CE2" w:rsidR="00244990" w:rsidRDefault="00C1373B" w:rsidP="008B482D">
      <w:r w:rsidRPr="00C1373B">
        <w:rPr>
          <w:noProof/>
        </w:rPr>
        <w:lastRenderedPageBreak/>
        <w:drawing>
          <wp:inline distT="0" distB="0" distL="0" distR="0" wp14:anchorId="62DF7E36" wp14:editId="47539C77">
            <wp:extent cx="5816600" cy="811412"/>
            <wp:effectExtent l="0" t="0" r="0" b="1905"/>
            <wp:docPr id="72615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2817" name=""/>
                    <pic:cNvPicPr/>
                  </pic:nvPicPr>
                  <pic:blipFill>
                    <a:blip r:embed="rId55"/>
                    <a:stretch>
                      <a:fillRect/>
                    </a:stretch>
                  </pic:blipFill>
                  <pic:spPr>
                    <a:xfrm>
                      <a:off x="0" y="0"/>
                      <a:ext cx="5918874" cy="825679"/>
                    </a:xfrm>
                    <a:prstGeom prst="rect">
                      <a:avLst/>
                    </a:prstGeom>
                  </pic:spPr>
                </pic:pic>
              </a:graphicData>
            </a:graphic>
          </wp:inline>
        </w:drawing>
      </w:r>
    </w:p>
    <w:p w14:paraId="40ABC1F2" w14:textId="77777777" w:rsidR="00146D80" w:rsidRDefault="00146D80" w:rsidP="00146D80">
      <w:pPr>
        <w:pStyle w:val="ae"/>
      </w:pPr>
      <w:r>
        <w:t>从+1%加速到+4%，是四个季度中加速幅度仅次于电子的板块，但性质完全不同——</w:t>
      </w:r>
      <w:r>
        <w:rPr>
          <w:rStyle w:val="af"/>
        </w:rPr>
        <w:t>电子靠技术周期驱动，金属靠政策驱动</w:t>
      </w:r>
      <w:r>
        <w:t>。</w:t>
      </w:r>
    </w:p>
    <w:p w14:paraId="183C2E65" w14:textId="77777777" w:rsidR="00146D80" w:rsidRDefault="00146D80" w:rsidP="00146D80">
      <w:pPr>
        <w:pStyle w:val="ae"/>
      </w:pPr>
      <w:r>
        <w:t>Q3业绩会点明增长逻辑："美国因关税可能继续看到钢铁和金属领域的扩张机会"，"美国是金属领域的亮点，不仅产量水平，新产能机会也受新关税支持"。Q1进一步细化："全部增长来自美洲地区...受益于美国到拉丁美洲的保护主义政策推动本地金属生产替代进口"。Q2则揭示了新的增长源："美国数据中心等建设为金属业务带来了提振"。</w:t>
      </w:r>
    </w:p>
    <w:p w14:paraId="57CC851F" w14:textId="77777777" w:rsidR="00146D80" w:rsidRDefault="00146D80" w:rsidP="00146D80">
      <w:pPr>
        <w:pStyle w:val="ae"/>
      </w:pPr>
      <w:r>
        <w:t>地区极度不均衡：美洲和巴西表现强劲，亚太持平，EMEA持续负增长（Q3业绩会："欧洲是最弱的，需求持续下降"）。增速加速的可持续性高度依赖美国关税政策是否延续以及数据中心建设周期的长度。</w:t>
      </w:r>
    </w:p>
    <w:p w14:paraId="62A39C66" w14:textId="77777777" w:rsidR="00DF4ACB" w:rsidRDefault="00DF4ACB" w:rsidP="00132B67"/>
    <w:p w14:paraId="2532F9BC" w14:textId="77B6DFF1" w:rsidR="00564C37" w:rsidRDefault="00564C37" w:rsidP="00132B67">
      <w:r>
        <w:t>将六个市场按</w:t>
      </w:r>
      <w:r>
        <w:rPr>
          <w:rStyle w:val="af"/>
        </w:rPr>
        <w:t>增长动能</w:t>
      </w:r>
      <w:r>
        <w:t>和</w:t>
      </w:r>
      <w:r>
        <w:rPr>
          <w:rStyle w:val="af"/>
        </w:rPr>
        <w:t>确定性</w:t>
      </w:r>
      <w:r>
        <w:t>两个维度排列：</w:t>
      </w:r>
    </w:p>
    <w:p w14:paraId="536578A7" w14:textId="7641689A" w:rsidR="00564C37" w:rsidRDefault="002D5E70" w:rsidP="00132B67">
      <w:r w:rsidRPr="002D5E70">
        <w:rPr>
          <w:noProof/>
        </w:rPr>
        <w:drawing>
          <wp:inline distT="0" distB="0" distL="0" distR="0" wp14:anchorId="4656C7FE" wp14:editId="6667DACC">
            <wp:extent cx="4826000" cy="1228615"/>
            <wp:effectExtent l="0" t="0" r="0" b="3810"/>
            <wp:docPr id="67024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1019" name=""/>
                    <pic:cNvPicPr/>
                  </pic:nvPicPr>
                  <pic:blipFill>
                    <a:blip r:embed="rId56"/>
                    <a:stretch>
                      <a:fillRect/>
                    </a:stretch>
                  </pic:blipFill>
                  <pic:spPr>
                    <a:xfrm>
                      <a:off x="0" y="0"/>
                      <a:ext cx="4888006" cy="1244401"/>
                    </a:xfrm>
                    <a:prstGeom prst="rect">
                      <a:avLst/>
                    </a:prstGeom>
                  </pic:spPr>
                </pic:pic>
              </a:graphicData>
            </a:graphic>
          </wp:inline>
        </w:drawing>
      </w:r>
    </w:p>
    <w:p w14:paraId="70E50489" w14:textId="6C064E2E" w:rsidR="00B0713F" w:rsidRPr="00232736" w:rsidRDefault="00232736" w:rsidP="00132B67">
      <w:r>
        <w:t>林德的收入结构正在发生一个重要的结构性迁移：</w:t>
      </w:r>
      <w:r>
        <w:rPr>
          <w:rStyle w:val="af"/>
        </w:rPr>
        <w:t>从"2/3工业周期+1/3消费防御"向"电子科技周期权重上升"转变</w:t>
      </w:r>
      <w:r>
        <w:t>。电子从9%升至10%只是开始——以当前+18%的增速和$81亿在手订单的投产节奏，未来2-3年电子占比有望突破12-13%，逐步改变林德的增长特征从"工业气体公司"向"半导体基础设施供应商"倾斜。</w:t>
      </w:r>
    </w:p>
    <w:p w14:paraId="2AE0801C" w14:textId="77777777" w:rsidR="00564C37" w:rsidRPr="00146D80" w:rsidRDefault="00564C37" w:rsidP="00132B67"/>
    <w:p w14:paraId="43A80476" w14:textId="755C30C6" w:rsidR="005B7E7B" w:rsidRPr="005B7E7B" w:rsidRDefault="005B7E7B" w:rsidP="00132B67">
      <w:pPr>
        <w:pStyle w:val="3"/>
      </w:pPr>
      <w:r w:rsidRPr="005B7E7B">
        <w:rPr>
          <w:rFonts w:hint="eastAsia"/>
        </w:rPr>
        <w:t>分地区</w:t>
      </w:r>
    </w:p>
    <w:p w14:paraId="59246F69" w14:textId="0051B157" w:rsidR="00191F30" w:rsidRDefault="00191F30" w:rsidP="00132B67">
      <w:r w:rsidRPr="00191F30">
        <w:rPr>
          <w:noProof/>
        </w:rPr>
        <w:drawing>
          <wp:inline distT="0" distB="0" distL="0" distR="0" wp14:anchorId="124FDF5B" wp14:editId="0DDFAB70">
            <wp:extent cx="6645910" cy="2374265"/>
            <wp:effectExtent l="0" t="0" r="0" b="635"/>
            <wp:docPr id="94490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06345" name=""/>
                    <pic:cNvPicPr/>
                  </pic:nvPicPr>
                  <pic:blipFill>
                    <a:blip r:embed="rId57"/>
                    <a:stretch>
                      <a:fillRect/>
                    </a:stretch>
                  </pic:blipFill>
                  <pic:spPr>
                    <a:xfrm>
                      <a:off x="0" y="0"/>
                      <a:ext cx="6645910" cy="2374265"/>
                    </a:xfrm>
                    <a:prstGeom prst="rect">
                      <a:avLst/>
                    </a:prstGeom>
                  </pic:spPr>
                </pic:pic>
              </a:graphicData>
            </a:graphic>
          </wp:inline>
        </w:drawing>
      </w:r>
    </w:p>
    <w:p w14:paraId="65D3036E" w14:textId="3FD4CC92" w:rsidR="00191F30" w:rsidRDefault="00191F30" w:rsidP="00132B67">
      <w:r>
        <w:t>美洲（占合并营收~44%）是增长基本盘。四个季度营收从$38.5亿稳步升至$40.8亿，同比增速+6%→+8%→+10%→+7%，是唯一实现连续</w:t>
      </w:r>
      <w:r w:rsidR="006E34B5">
        <w:t>量</w:t>
      </w:r>
      <w:r>
        <w:t>增的区域（+1%→+1%→+2%→+2%）。定价能力在三大区域</w:t>
      </w:r>
      <w:r>
        <w:lastRenderedPageBreak/>
        <w:t>中最强（同比+2%至+4%），反映其包装气体业务的议价权和美国通胀传导能力。营业利润率稳定在31%左右，本应更高，但被美国家庭护理业务</w:t>
      </w:r>
      <w:proofErr w:type="spellStart"/>
      <w:r>
        <w:t>Lincare</w:t>
      </w:r>
      <w:proofErr w:type="spellEnd"/>
      <w:r>
        <w:t>持续拖累——剔除</w:t>
      </w:r>
      <w:proofErr w:type="spellStart"/>
      <w:r>
        <w:t>Lincare</w:t>
      </w:r>
      <w:proofErr w:type="spellEnd"/>
      <w:r>
        <w:t>后Q2利润率实际同比提升20个基点。增长驱动力清晰：电子（台积电亚利桑那）和制造业（航空航天+数据中心建设）拉动量增长，硬商品销售两位数增长则是美国制造业回暖的领先信号。并购也集中在此区域，以包装气体小型补强收购为主。</w:t>
      </w:r>
    </w:p>
    <w:p w14:paraId="6B378F90" w14:textId="7611DFC1" w:rsidR="00191F30" w:rsidRDefault="00C55B2B" w:rsidP="00132B67">
      <w:r w:rsidRPr="00C55B2B">
        <w:rPr>
          <w:noProof/>
        </w:rPr>
        <w:drawing>
          <wp:inline distT="0" distB="0" distL="0" distR="0" wp14:anchorId="26C1E008" wp14:editId="39D78573">
            <wp:extent cx="6645910" cy="2003425"/>
            <wp:effectExtent l="0" t="0" r="0" b="3175"/>
            <wp:docPr id="86961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0543" name=""/>
                    <pic:cNvPicPr/>
                  </pic:nvPicPr>
                  <pic:blipFill>
                    <a:blip r:embed="rId58"/>
                    <a:stretch>
                      <a:fillRect/>
                    </a:stretch>
                  </pic:blipFill>
                  <pic:spPr>
                    <a:xfrm>
                      <a:off x="0" y="0"/>
                      <a:ext cx="6645910" cy="2003425"/>
                    </a:xfrm>
                    <a:prstGeom prst="rect">
                      <a:avLst/>
                    </a:prstGeom>
                  </pic:spPr>
                </pic:pic>
              </a:graphicData>
            </a:graphic>
          </wp:inline>
        </w:drawing>
      </w:r>
    </w:p>
    <w:p w14:paraId="4D8B8A23" w14:textId="3E613548" w:rsidR="00191F30" w:rsidRDefault="00191F30" w:rsidP="00132B67">
      <w:r>
        <w:t>亚太（占合并营收~20%）是弹性最大的区域，从沉寂到爆发。同比增速从Q3的仅+1%飙升至Q2的+13%，四个季度经历了质变。量增长从零加速到+6%，驱动因素是双重的：一是电子行业项目投产（韩国、中国台湾的晶圆厂气体供应启动），二是面向电子客户的低利润率设备销售放量——这类设备销售虽然短期压低利润率（28%左右，三大区域最低），但绑定了长期气体供应合同，是"以利润率换未来现金流"的战略选择。定价方面从Q3的-1%转正到Q2的+2%，氦气逆风在消退。汇率从逆风转为顺风（人民币、澳元走强），额外贡献了3-4个百分点的报表增长。中国市场底部企稳，煤化工等本土原料优势业务表现良好；印度持续增长；东南亚项目投产爬坡中。</w:t>
      </w:r>
    </w:p>
    <w:p w14:paraId="7D3F4018" w14:textId="6AE4F3E6" w:rsidR="00191F30" w:rsidRDefault="007A5A18" w:rsidP="00132B67">
      <w:r w:rsidRPr="007A5A18">
        <w:rPr>
          <w:noProof/>
        </w:rPr>
        <w:drawing>
          <wp:inline distT="0" distB="0" distL="0" distR="0" wp14:anchorId="6C6D9C83" wp14:editId="05A6E692">
            <wp:extent cx="6645910" cy="1996440"/>
            <wp:effectExtent l="0" t="0" r="0" b="0"/>
            <wp:docPr id="154624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762" name=""/>
                    <pic:cNvPicPr/>
                  </pic:nvPicPr>
                  <pic:blipFill>
                    <a:blip r:embed="rId59"/>
                    <a:stretch>
                      <a:fillRect/>
                    </a:stretch>
                  </pic:blipFill>
                  <pic:spPr>
                    <a:xfrm>
                      <a:off x="0" y="0"/>
                      <a:ext cx="6645910" cy="1996440"/>
                    </a:xfrm>
                    <a:prstGeom prst="rect">
                      <a:avLst/>
                    </a:prstGeom>
                  </pic:spPr>
                </pic:pic>
              </a:graphicData>
            </a:graphic>
          </wp:inline>
        </w:drawing>
      </w:r>
    </w:p>
    <w:p w14:paraId="7E8AE1AF" w14:textId="109BB067" w:rsidR="00191F30" w:rsidRDefault="00191F30" w:rsidP="00132B67">
      <w:r>
        <w:t>EMEA（占合并营收~25%）是"利润率最高但量最弱"的矛盾体。四个季度报表增速+3%→+6%→+7%→+7%看起来不错，但拆开看，几乎全部由汇率驱动——欧元和英镑升值分别贡献了+5%、+8%、+10%、+3%的报表增长，而实质性的量增长连续四季为负（-3%→-3%→-3%→-1%），制造业和化工板块持续萎缩。然而这恰恰是林德合同模式的韧性所在：现场制气客户即使降低采购量，仍需按合同支付固定费用（take-or-pay），配合持续的定价行动和生产力优化，EMEA利润率反而达到35-36%的全公司最高水平，且连续扩张。这是一个典型的"逆境中靠管理行动挤利润"的故事——一旦欧洲工业需求触底回升，量增长回正将释放出巨大的运营杠杆。</w:t>
      </w:r>
    </w:p>
    <w:p w14:paraId="3100F847" w14:textId="77777777" w:rsidR="00191F30" w:rsidRDefault="00191F30" w:rsidP="00132B67"/>
    <w:p w14:paraId="74FD4AEA" w14:textId="74C080EE" w:rsidR="002340D9" w:rsidRDefault="00191F30" w:rsidP="00132B67">
      <w:r>
        <w:t>三区合看，林德的地理布局构成了一个天然对冲组合：美洲提供稳定增长和定价能力，亚太提供高弹性和电子周期红利，EMEA在逆境中贡献利润率韧性。三者叠加使得合并层面实现了EPS连续四季度beat指引、合并利润率维持在29.5-30%的表现——在全球工业活动整体偏弱的背景下，这实质上是一个由合同结构、定价纪律和资本配置驱动的"低增长环境下的高质量盈利机器"。</w:t>
      </w:r>
    </w:p>
    <w:p w14:paraId="2B2297F0" w14:textId="77777777" w:rsidR="002340D9" w:rsidRDefault="002340D9" w:rsidP="00132B67"/>
    <w:p w14:paraId="4BAFB780" w14:textId="3337B3D3" w:rsidR="002340D9" w:rsidRDefault="00F56B8A" w:rsidP="00F56B8A">
      <w:pPr>
        <w:pStyle w:val="3"/>
      </w:pPr>
      <w:r>
        <w:lastRenderedPageBreak/>
        <w:t>在手订单与资本配置</w:t>
      </w:r>
    </w:p>
    <w:p w14:paraId="6574A3FE" w14:textId="7CAC4F62" w:rsidR="002340D9" w:rsidRDefault="009566B4" w:rsidP="00132B67">
      <w:r w:rsidRPr="009566B4">
        <w:rPr>
          <w:noProof/>
        </w:rPr>
        <w:drawing>
          <wp:inline distT="0" distB="0" distL="0" distR="0" wp14:anchorId="796E4E1F" wp14:editId="1EC04E72">
            <wp:extent cx="6189133" cy="3369547"/>
            <wp:effectExtent l="0" t="0" r="0" b="0"/>
            <wp:docPr id="1223052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2335" name=""/>
                    <pic:cNvPicPr/>
                  </pic:nvPicPr>
                  <pic:blipFill>
                    <a:blip r:embed="rId60"/>
                    <a:stretch>
                      <a:fillRect/>
                    </a:stretch>
                  </pic:blipFill>
                  <pic:spPr>
                    <a:xfrm>
                      <a:off x="0" y="0"/>
                      <a:ext cx="6210575" cy="3381221"/>
                    </a:xfrm>
                    <a:prstGeom prst="rect">
                      <a:avLst/>
                    </a:prstGeom>
                  </pic:spPr>
                </pic:pic>
              </a:graphicData>
            </a:graphic>
          </wp:inline>
        </w:drawing>
      </w:r>
    </w:p>
    <w:p w14:paraId="705C0BF2" w14:textId="2A9C8A98" w:rsidR="00D355B0" w:rsidRDefault="00D355B0" w:rsidP="00D355B0">
      <w:pPr>
        <w:pStyle w:val="ae"/>
      </w:pPr>
      <w:r>
        <w:rPr>
          <w:rStyle w:val="af"/>
        </w:rPr>
        <w:t>在手订单从$100亿到$111亿的跳升，是这四个季度最重要的单一事件。</w:t>
      </w:r>
      <w:r>
        <w:t xml:space="preserve"> Q3到Q1三个季度backlog在$99-100亿窄幅波动，看似停滞——Q3启动了$10亿项目但新签订单补回，Q1投产10个项目同时签了5个新项目，维持动态平衡。然后Q2突然跳升$12亿至$111亿创历史新高，打破了平衡。拆开看，SOG（气体销售订单）从$71亿跳至$81亿（+$10亿），SOP（工程设备销售订单）从$28亿升至$30亿（+$2亿）。SOG的$10亿增量直接来自单笔美国电子大单（台积电亚利桑那晶圆厂），这意味着</w:t>
      </w:r>
      <w:r w:rsidRPr="00011B55">
        <w:rPr>
          <w:rStyle w:val="af"/>
          <w:b w:val="0"/>
          <w:bCs w:val="0"/>
        </w:rPr>
        <w:t>一个客户的一笔订单就能推动backlog跳升10%</w:t>
      </w:r>
      <w:r w:rsidRPr="00011B55">
        <w:t>。</w:t>
      </w:r>
    </w:p>
    <w:p w14:paraId="16433170" w14:textId="77777777" w:rsidR="00D355B0" w:rsidRDefault="00D355B0" w:rsidP="00D355B0">
      <w:pPr>
        <w:pStyle w:val="ae"/>
      </w:pPr>
      <w:r>
        <w:rPr>
          <w:rStyle w:val="af"/>
        </w:rPr>
        <w:t>订单结构揭示了增长的方向。</w:t>
      </w:r>
      <w:r>
        <w:t xml:space="preserve"> SOG占总backlog的73%（$81亿/$111亿），这部分全部是长期气体供应合同，投产后带来持续10-15年的经常性收入，每个项目要求双位数税后无杠杆IRR——这不是低质量的"充规模"订单。管理层在Q3披露SOG中约65%是清洁能源相关项目，电子订单的地理分布"大部分来自美国，台湾和韩国也很强劲"。更关键的是Q2业绩会的前瞻判断："2026年剩余时间计划启动超过20个项目、总投资约$13亿，即使扣除投产部分，年末SOG仍将保持$80亿以上"——这意味着新增签约速度已经超过了投产消耗速度，backlog进入了</w:t>
      </w:r>
      <w:r>
        <w:rPr>
          <w:rStyle w:val="af"/>
        </w:rPr>
        <w:t>净增长轨道</w:t>
      </w:r>
      <w:r>
        <w:t>。</w:t>
      </w:r>
    </w:p>
    <w:p w14:paraId="2ACC462B" w14:textId="77777777" w:rsidR="00D355B0" w:rsidRDefault="00D355B0" w:rsidP="00D355B0">
      <w:pPr>
        <w:pStyle w:val="ae"/>
      </w:pPr>
      <w:r>
        <w:rPr>
          <w:rStyle w:val="af"/>
        </w:rPr>
        <w:t>OCF的节奏与Capex的加速形成对照。</w:t>
      </w:r>
      <w:r>
        <w:t xml:space="preserve"> 季度OCF在$22-30亿间波动，存在明显的下半年偏重特征（Q3/Q4约$30亿，Q1/Q2约$22亿），这是工程业务结算时间和季节性的常规模式。但Capex的趋势是单边上升的：项目投资从Q3的$6.4亿升至Q2的$7.8亿（+25%），全年指引从$50-55亿上调至$55-60亿。</w:t>
      </w:r>
      <w:r>
        <w:rPr>
          <w:rStyle w:val="af"/>
        </w:rPr>
        <w:t>Capex加速与backlog跳升同步发生</w:t>
      </w:r>
      <w:r>
        <w:t>，钱花出去的同时合同也签下来了，不是盲目扩张。</w:t>
      </w:r>
    </w:p>
    <w:p w14:paraId="79ACA719" w14:textId="77777777" w:rsidR="00D355B0" w:rsidRDefault="00D355B0" w:rsidP="00D355B0">
      <w:pPr>
        <w:pStyle w:val="ae"/>
      </w:pPr>
      <w:r>
        <w:rPr>
          <w:rStyle w:val="af"/>
        </w:rPr>
        <w:t>资本分配的数学非常清晰。</w:t>
      </w:r>
      <w:r>
        <w:t xml:space="preserve"> FY2025全年：OCF $104亿 → 基础Capex $26亿 → 可用OCF $78亿 → 其中$31亿投入增长（项目+并购）、$74亿返还股东（回购$46亿+分红$28亿）。$31亿+$74亿=$105亿，略超可用OCF，差额通过适度举债弥补，杠杆率仍然很低。到2026上半年，节奏没有变：$32亿投入业务、$31亿返还股东。连续33年股息增长（年均+13%）的记录也在Q1得到延续（+7%）。这是一个</w:t>
      </w:r>
      <w:r w:rsidRPr="00902BF7">
        <w:rPr>
          <w:rStyle w:val="af"/>
          <w:b w:val="0"/>
          <w:bCs w:val="0"/>
        </w:rPr>
        <w:t>现金流充裕到不需要在增长和回报之间做取舍</w:t>
      </w:r>
      <w:r>
        <w:t>的公司——$80亿+的在手订单需要持续投入，同时每季度$8-16亿的回购也没有停过一期。</w:t>
      </w:r>
    </w:p>
    <w:p w14:paraId="75655CA1" w14:textId="77777777" w:rsidR="009736AC" w:rsidRPr="00D07E14" w:rsidRDefault="009736AC" w:rsidP="009736AC">
      <w:pPr>
        <w:pStyle w:val="3"/>
      </w:pPr>
      <w:r>
        <w:rPr>
          <w:rFonts w:hint="eastAsia"/>
        </w:rPr>
        <w:lastRenderedPageBreak/>
        <w:t>核心增长引擎</w:t>
      </w:r>
    </w:p>
    <w:p w14:paraId="32A41127" w14:textId="77777777" w:rsidR="00AF1B52" w:rsidRPr="00AF1B52" w:rsidRDefault="00AF1B52" w:rsidP="00B73D85">
      <w:r w:rsidRPr="00AF1B52">
        <w:t>第一层：合同模型——每年锁定的+2%到+3%（确定性最高）</w:t>
      </w:r>
    </w:p>
    <w:p w14:paraId="637AD1C2" w14:textId="7CF94626" w:rsidR="00F56B8A" w:rsidRPr="00AF1B52" w:rsidRDefault="00AF1B52" w:rsidP="00AF1B52">
      <w:pPr>
        <w:spacing w:before="100" w:beforeAutospacing="1" w:after="100" w:afterAutospacing="1"/>
      </w:pPr>
      <w:r w:rsidRPr="00AF1B52">
        <w:t>这是林德增长的"地基"，不依赖任何外部条件。Take-or-pay合同结构意味着现场制气客户即使减产也要按约定量付费，叠加CPI挂钩的年度价格调升机制，四个季度的定价贡献稳定在+2%，EMEA甚至在量连续-3%的情况下仍实现利润率35-36%。再加上包装气体领域每年+1%的小型补强并购（四个季度均贡献+1%），合同模型+并购合计锁定每年+3%左右的基础增长。这一层完全不受宏观周期影响，是林德"永远不会miss指引"的底层原因。</w:t>
      </w:r>
    </w:p>
    <w:p w14:paraId="7B8BB60C" w14:textId="77777777" w:rsidR="00AF1B52" w:rsidRPr="00AF1B52" w:rsidRDefault="00AF1B52" w:rsidP="00B73D85">
      <w:r w:rsidRPr="00AF1B52">
        <w:t>第二层：工业复苏——从0%到+2%的量增长回归（正在兑现）</w:t>
      </w:r>
    </w:p>
    <w:p w14:paraId="39D3D176" w14:textId="77777777" w:rsidR="00AF1B52" w:rsidRDefault="00AF1B52" w:rsidP="00AF1B52">
      <w:pPr>
        <w:pStyle w:val="ae"/>
      </w:pPr>
      <w:r>
        <w:t>林德经历了超过两年的工业衰退期（量增长为零甚至为负），Q3是拐点——合并量增长从0%逐步修复到Q2的+2%。复苏不是均匀发生的，有三个明确的驱动源：</w:t>
      </w:r>
    </w:p>
    <w:p w14:paraId="0E177350" w14:textId="77777777" w:rsidR="00AF1B52" w:rsidRDefault="00AF1B52" w:rsidP="00AF1B52">
      <w:pPr>
        <w:numPr>
          <w:ilvl w:val="0"/>
          <w:numId w:val="19"/>
        </w:numPr>
        <w:spacing w:before="100" w:beforeAutospacing="1" w:after="100" w:afterAutospacing="1"/>
      </w:pPr>
      <w:r>
        <w:rPr>
          <w:rStyle w:val="af"/>
        </w:rPr>
        <w:t>美国制造业回暖</w:t>
      </w:r>
      <w:r>
        <w:t>：包装气体量增中个位数、硬商品两位数增长。航天是其中增速最高的细分（两位数增长），管理层已给出"2030年$10亿+"的目标，这是制造业板块内正在孵化的一个独立增长故事。</w:t>
      </w:r>
    </w:p>
    <w:p w14:paraId="34AF7691" w14:textId="77777777" w:rsidR="00AF1B52" w:rsidRDefault="00AF1B52" w:rsidP="00AF1B52">
      <w:pPr>
        <w:numPr>
          <w:ilvl w:val="0"/>
          <w:numId w:val="19"/>
        </w:numPr>
        <w:spacing w:before="100" w:beforeAutospacing="1" w:after="100" w:afterAutospacing="1"/>
      </w:pPr>
      <w:r>
        <w:rPr>
          <w:rStyle w:val="af"/>
        </w:rPr>
        <w:t>美国金属受政策驱动</w:t>
      </w:r>
      <w:r>
        <w:t>：关税推动本地金属生产替代进口，从+1%加速至+4%。确定性弱于制造业，高度依赖政策延续。</w:t>
      </w:r>
    </w:p>
    <w:p w14:paraId="4A645C7C" w14:textId="77777777" w:rsidR="00AF1B52" w:rsidRDefault="00AF1B52" w:rsidP="00AF1B52">
      <w:pPr>
        <w:numPr>
          <w:ilvl w:val="0"/>
          <w:numId w:val="19"/>
        </w:numPr>
        <w:spacing w:before="100" w:beforeAutospacing="1" w:after="100" w:afterAutospacing="1"/>
      </w:pPr>
      <w:r>
        <w:rPr>
          <w:rStyle w:val="af"/>
        </w:rPr>
        <w:t>亚太量爆发</w:t>
      </w:r>
      <w:r>
        <w:t>：从0%到+6%，驱动力是电子项目投产和设备销售——这部分与第三层的电子引擎重叠。</w:t>
      </w:r>
    </w:p>
    <w:p w14:paraId="073CE9A7" w14:textId="77777777" w:rsidR="00AF1B52" w:rsidRDefault="00AF1B52" w:rsidP="00AF1B52">
      <w:pPr>
        <w:pStyle w:val="ae"/>
      </w:pPr>
      <w:r>
        <w:t>EMEA量仍在负区间（-3%→-1%），但改善方向已确立。一旦欧洲工业触底，将释放运营杠杆——这是目前尚未定价的</w:t>
      </w:r>
      <w:r>
        <w:rPr>
          <w:rStyle w:val="af"/>
        </w:rPr>
        <w:t>潜在上行空间</w:t>
      </w:r>
      <w:r>
        <w:t>。</w:t>
      </w:r>
    </w:p>
    <w:p w14:paraId="6A501C00" w14:textId="2D989309" w:rsidR="00F56B8A" w:rsidRPr="00AF1B52" w:rsidRDefault="00AF1B52" w:rsidP="00A31D76">
      <w:pPr>
        <w:pStyle w:val="ae"/>
      </w:pPr>
      <w:r>
        <w:t>这一层合计贡献+2%到+3%的增量增速，与第一层叠加后支撑合并营收同比+5%到+6%。</w:t>
      </w:r>
    </w:p>
    <w:p w14:paraId="74436707" w14:textId="77777777" w:rsidR="00A31D76" w:rsidRPr="00A31D76" w:rsidRDefault="00A31D76" w:rsidP="00B73D85">
      <w:r w:rsidRPr="00A31D76">
        <w:t>第三层：电子/半导体——结构性赛道迁移（弹性最大、持续时间最长）</w:t>
      </w:r>
    </w:p>
    <w:p w14:paraId="58D467DC" w14:textId="77777777" w:rsidR="00A31D76" w:rsidRDefault="00A31D76" w:rsidP="00A31D76">
      <w:pPr>
        <w:pStyle w:val="ae"/>
      </w:pPr>
      <w:r>
        <w:t>这是四期业绩会中信息密度最高、管理层着墨最多、投资者问得最密集的主题。之所以单独作为一层，是因为它的性质不同于前两层——</w:t>
      </w:r>
      <w:r>
        <w:rPr>
          <w:rStyle w:val="af"/>
        </w:rPr>
        <w:t>不是周期复苏，而是结构性转型</w:t>
      </w:r>
      <w:r>
        <w:t>。</w:t>
      </w:r>
    </w:p>
    <w:p w14:paraId="67A1478C" w14:textId="77777777" w:rsidR="00A31D76" w:rsidRDefault="00A31D76" w:rsidP="00A31D76">
      <w:pPr>
        <w:pStyle w:val="ae"/>
      </w:pPr>
      <w:r>
        <w:t>定量证据链：</w:t>
      </w:r>
    </w:p>
    <w:p w14:paraId="3142C3E4" w14:textId="77777777" w:rsidR="00A31D76" w:rsidRDefault="00A31D76" w:rsidP="00A31D76">
      <w:pPr>
        <w:numPr>
          <w:ilvl w:val="0"/>
          <w:numId w:val="20"/>
        </w:numPr>
        <w:spacing w:before="100" w:beforeAutospacing="1" w:after="100" w:afterAutospacing="1"/>
      </w:pPr>
      <w:r>
        <w:t>增速加速：+6%→+7%→+10%→+18%，四季度增速翻3倍</w:t>
      </w:r>
    </w:p>
    <w:p w14:paraId="6961C93C" w14:textId="77777777" w:rsidR="00A31D76" w:rsidRDefault="00A31D76" w:rsidP="00A31D76">
      <w:pPr>
        <w:numPr>
          <w:ilvl w:val="0"/>
          <w:numId w:val="20"/>
        </w:numPr>
        <w:spacing w:before="100" w:beforeAutospacing="1" w:after="100" w:afterAutospacing="1"/>
      </w:pPr>
      <w:r>
        <w:t>占比上升：9%→10%，报表内电子敞口年化~$35亿</w:t>
      </w:r>
    </w:p>
    <w:p w14:paraId="6771E09B" w14:textId="77777777" w:rsidR="00A31D76" w:rsidRDefault="00A31D76" w:rsidP="00A31D76">
      <w:pPr>
        <w:numPr>
          <w:ilvl w:val="0"/>
          <w:numId w:val="20"/>
        </w:numPr>
        <w:spacing w:before="100" w:beforeAutospacing="1" w:after="100" w:afterAutospacing="1"/>
      </w:pPr>
      <w:r>
        <w:t>隐性敞口：台湾联华林德JV额外~2%，合并后实际~12%，年化超$40亿</w:t>
      </w:r>
    </w:p>
    <w:p w14:paraId="16C28409" w14:textId="77777777" w:rsidR="00A31D76" w:rsidRDefault="00A31D76" w:rsidP="00A31D76">
      <w:pPr>
        <w:numPr>
          <w:ilvl w:val="0"/>
          <w:numId w:val="20"/>
        </w:numPr>
        <w:spacing w:before="100" w:beforeAutospacing="1" w:after="100" w:afterAutospacing="1"/>
      </w:pPr>
      <w:r>
        <w:t>订单爆发：SOG backlog单季+$10亿至$81亿创纪录，Q2新增$10亿美国电子订单（台积电亚利桑那）+ $8亿台湾JV订单</w:t>
      </w:r>
    </w:p>
    <w:p w14:paraId="3F500C0F" w14:textId="77777777" w:rsidR="00A31D76" w:rsidRDefault="00A31D76" w:rsidP="00A31D76">
      <w:pPr>
        <w:numPr>
          <w:ilvl w:val="0"/>
          <w:numId w:val="20"/>
        </w:numPr>
        <w:spacing w:before="100" w:beforeAutospacing="1" w:after="100" w:afterAutospacing="1"/>
      </w:pPr>
      <w:r>
        <w:t>投产管线：2026年下半年计划启动20+个项目共$13亿投资，年末SOG仍将维持$80亿+</w:t>
      </w:r>
    </w:p>
    <w:p w14:paraId="7CEB7D87" w14:textId="77777777" w:rsidR="00A31D76" w:rsidRDefault="00A31D76" w:rsidP="00A31D76">
      <w:pPr>
        <w:pStyle w:val="ae"/>
      </w:pPr>
      <w:r>
        <w:t>管理层的战略判断非常明确：</w:t>
      </w:r>
      <w:r>
        <w:rPr>
          <w:rStyle w:val="af"/>
        </w:rPr>
        <w:t>"电子行业资本支出周期将持续5-7年甚至更久"</w:t>
      </w:r>
      <w:r>
        <w:t>，长期将是"待执行订单的最大贡献来源和增速最高的市场"。Capex指引从$50-55亿上调至$55-60亿，直接原因就是电子投资加速。</w:t>
      </w:r>
    </w:p>
    <w:p w14:paraId="713B9B53" w14:textId="77777777" w:rsidR="00A31D76" w:rsidRDefault="00A31D76" w:rsidP="00A31D76">
      <w:pPr>
        <w:pStyle w:val="ae"/>
      </w:pPr>
      <w:r>
        <w:t>这一层的本质是：AI驱动的先进制程芯片对工业气体的使用强度远高于传统芯片，而全球晶圆厂建设潮（美国CHIPS法案、台湾扩产、韩国和东南亚产能转移）需要大量现场制气设施，每个项目锁定10-15年供应合同并要求双位数IRR。</w:t>
      </w:r>
      <w:r>
        <w:rPr>
          <w:rStyle w:val="af"/>
        </w:rPr>
        <w:t>林德不是在卖气体给一个周期，而是在绑定半导体产业链的物理基础设施。</w:t>
      </w:r>
    </w:p>
    <w:p w14:paraId="1B646A8F" w14:textId="77777777" w:rsidR="00AF1B52" w:rsidRDefault="00AF1B52" w:rsidP="00132B67"/>
    <w:p w14:paraId="66868716" w14:textId="7BB646DA" w:rsidR="00AF1B52" w:rsidRDefault="002E7D43" w:rsidP="002E7D43">
      <w:pPr>
        <w:pStyle w:val="3"/>
      </w:pPr>
      <w:r>
        <w:rPr>
          <w:rFonts w:hint="eastAsia"/>
        </w:rPr>
        <w:t>EPS增速测算</w:t>
      </w:r>
    </w:p>
    <w:p w14:paraId="06206931" w14:textId="3A902EA7" w:rsidR="008B2A84" w:rsidRDefault="00172192" w:rsidP="00132B67">
      <w:r w:rsidRPr="00172192">
        <w:rPr>
          <w:noProof/>
        </w:rPr>
        <w:drawing>
          <wp:inline distT="0" distB="0" distL="0" distR="0" wp14:anchorId="1E19E1CD" wp14:editId="60CB8F09">
            <wp:extent cx="6645910" cy="2649855"/>
            <wp:effectExtent l="0" t="0" r="0" b="4445"/>
            <wp:docPr id="45504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44093" name=""/>
                    <pic:cNvPicPr/>
                  </pic:nvPicPr>
                  <pic:blipFill>
                    <a:blip r:embed="rId61"/>
                    <a:stretch>
                      <a:fillRect/>
                    </a:stretch>
                  </pic:blipFill>
                  <pic:spPr>
                    <a:xfrm>
                      <a:off x="0" y="0"/>
                      <a:ext cx="6645910" cy="2649855"/>
                    </a:xfrm>
                    <a:prstGeom prst="rect">
                      <a:avLst/>
                    </a:prstGeom>
                  </pic:spPr>
                </pic:pic>
              </a:graphicData>
            </a:graphic>
          </wp:inline>
        </w:drawing>
      </w:r>
    </w:p>
    <w:p w14:paraId="07DDC1CF" w14:textId="64EF8E6F" w:rsidR="00616D6C" w:rsidRPr="00616D6C" w:rsidRDefault="00616D6C" w:rsidP="00132B67">
      <w:pPr>
        <w:rPr>
          <w:b/>
          <w:bCs/>
        </w:rPr>
      </w:pPr>
      <w:r w:rsidRPr="00616D6C">
        <w:rPr>
          <w:rFonts w:hint="eastAsia"/>
          <w:b/>
          <w:bCs/>
        </w:rPr>
        <w:t>营收增速</w:t>
      </w:r>
    </w:p>
    <w:p w14:paraId="45C78EEC" w14:textId="23E44953" w:rsidR="00252287" w:rsidRDefault="00252287" w:rsidP="00132B67">
      <w:r>
        <w:t>FY2019-FY2025</w:t>
      </w:r>
      <w:r>
        <w:rPr>
          <w:rFonts w:hint="eastAsia"/>
        </w:rPr>
        <w:t>的营收</w:t>
      </w:r>
      <w:r>
        <w:t>CAGR仅3.1%，但这包含了COVID和持续超过2年的工业衰退周期。</w:t>
      </w:r>
      <w:r w:rsidR="00364AF5">
        <w:rPr>
          <w:rFonts w:hint="eastAsia"/>
        </w:rPr>
        <w:t>营收增速预测为8%-9%。</w:t>
      </w:r>
    </w:p>
    <w:p w14:paraId="13CBA9E6" w14:textId="68E453EF" w:rsidR="00252287" w:rsidRDefault="00C3252C" w:rsidP="00132B67">
      <w:r w:rsidRPr="00C3252C">
        <w:rPr>
          <w:noProof/>
        </w:rPr>
        <w:drawing>
          <wp:inline distT="0" distB="0" distL="0" distR="0" wp14:anchorId="1A74EBD1" wp14:editId="0472FD9C">
            <wp:extent cx="6645910" cy="1380490"/>
            <wp:effectExtent l="0" t="0" r="0" b="3810"/>
            <wp:docPr id="134951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0495" name=""/>
                    <pic:cNvPicPr/>
                  </pic:nvPicPr>
                  <pic:blipFill>
                    <a:blip r:embed="rId62"/>
                    <a:stretch>
                      <a:fillRect/>
                    </a:stretch>
                  </pic:blipFill>
                  <pic:spPr>
                    <a:xfrm>
                      <a:off x="0" y="0"/>
                      <a:ext cx="6645910" cy="1380490"/>
                    </a:xfrm>
                    <a:prstGeom prst="rect">
                      <a:avLst/>
                    </a:prstGeom>
                  </pic:spPr>
                </pic:pic>
              </a:graphicData>
            </a:graphic>
          </wp:inline>
        </w:drawing>
      </w:r>
    </w:p>
    <w:p w14:paraId="7D347BE4" w14:textId="77777777" w:rsidR="00252287" w:rsidRDefault="00252287" w:rsidP="00132B67"/>
    <w:p w14:paraId="6708D9CB" w14:textId="665F829C" w:rsidR="00616D6C" w:rsidRPr="00616D6C" w:rsidRDefault="00616D6C" w:rsidP="00132B67">
      <w:pPr>
        <w:rPr>
          <w:b/>
          <w:bCs/>
        </w:rPr>
      </w:pPr>
      <w:r w:rsidRPr="00616D6C">
        <w:rPr>
          <w:rFonts w:hint="eastAsia"/>
          <w:b/>
          <w:bCs/>
        </w:rPr>
        <w:t>调整后净利率</w:t>
      </w:r>
    </w:p>
    <w:p w14:paraId="300B1B75" w14:textId="1321970D" w:rsidR="00873D51" w:rsidRDefault="00B52651" w:rsidP="00132B67">
      <w:r>
        <w:t>GAAP净利率从8.1%（FY2019）飙升至20.3%（FY2025），似乎利润率大幅改善。但这个提升中的</w:t>
      </w:r>
      <w:r>
        <w:rPr>
          <w:rStyle w:val="af"/>
        </w:rPr>
        <w:t>大部分是不可重复的一次性因素</w:t>
      </w:r>
      <w:r>
        <w:t>——Praxair合并的购买法摊销逐步到期：</w:t>
      </w:r>
    </w:p>
    <w:p w14:paraId="489AA18D" w14:textId="77777777" w:rsidR="006526C0" w:rsidRDefault="006526C0" w:rsidP="00132B67"/>
    <w:p w14:paraId="4A1A190E" w14:textId="13364F96" w:rsidR="006526C0" w:rsidRDefault="00B52651" w:rsidP="00132B67">
      <w:r>
        <w:t>管理层在业绩会上引导的OPM是</w:t>
      </w:r>
      <w:r>
        <w:rPr>
          <w:rStyle w:val="af"/>
        </w:rPr>
        <w:t>调整后口径</w:t>
      </w:r>
      <w:r>
        <w:t>（剔除购买法摊销和重组费）</w:t>
      </w:r>
      <w:r>
        <w:rPr>
          <w:rFonts w:hint="eastAsia"/>
        </w:rPr>
        <w:t>。</w:t>
      </w:r>
      <w:r w:rsidRPr="00B52651">
        <w:rPr>
          <w:rStyle w:val="af"/>
          <w:b w:val="0"/>
          <w:bCs w:val="0"/>
        </w:rPr>
        <w:t>FY2025全年调整后OPM：同比+30bps</w:t>
      </w:r>
      <w:r>
        <w:t>——管理层明确表示"</w:t>
      </w:r>
      <w:r w:rsidRPr="00EB16E3">
        <w:rPr>
          <w:b/>
          <w:bCs/>
        </w:rPr>
        <w:t>符合长期每年30-50个基点的利润率扩张预期</w:t>
      </w:r>
      <w:r>
        <w:t>"。</w:t>
      </w:r>
    </w:p>
    <w:p w14:paraId="4120E4E8" w14:textId="407C6801" w:rsidR="006526C0" w:rsidRDefault="00B52651" w:rsidP="00132B67">
      <w:r w:rsidRPr="00B52651">
        <w:rPr>
          <w:noProof/>
        </w:rPr>
        <w:drawing>
          <wp:inline distT="0" distB="0" distL="0" distR="0" wp14:anchorId="7FAEC6ED" wp14:editId="5751C5D4">
            <wp:extent cx="6645910" cy="1515110"/>
            <wp:effectExtent l="0" t="0" r="0" b="0"/>
            <wp:docPr id="72146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7716" name=""/>
                    <pic:cNvPicPr/>
                  </pic:nvPicPr>
                  <pic:blipFill>
                    <a:blip r:embed="rId63"/>
                    <a:stretch>
                      <a:fillRect/>
                    </a:stretch>
                  </pic:blipFill>
                  <pic:spPr>
                    <a:xfrm>
                      <a:off x="0" y="0"/>
                      <a:ext cx="6645910" cy="1515110"/>
                    </a:xfrm>
                    <a:prstGeom prst="rect">
                      <a:avLst/>
                    </a:prstGeom>
                  </pic:spPr>
                </pic:pic>
              </a:graphicData>
            </a:graphic>
          </wp:inline>
        </w:drawing>
      </w:r>
    </w:p>
    <w:p w14:paraId="5D3CE16D" w14:textId="77777777" w:rsidR="00F027A2" w:rsidRPr="00E23F5E" w:rsidRDefault="00F027A2" w:rsidP="00F027A2">
      <w:pPr>
        <w:pStyle w:val="ae"/>
        <w:rPr>
          <w:b/>
          <w:bCs/>
        </w:rPr>
      </w:pPr>
      <w:r w:rsidRPr="00E23F5E">
        <w:rPr>
          <w:rStyle w:val="af"/>
          <w:b w:val="0"/>
          <w:bCs w:val="0"/>
        </w:rPr>
        <w:t>长期框架：</w:t>
      </w:r>
    </w:p>
    <w:p w14:paraId="03A102EB" w14:textId="77777777" w:rsidR="00F027A2" w:rsidRDefault="00F027A2" w:rsidP="00F027A2">
      <w:pPr>
        <w:numPr>
          <w:ilvl w:val="0"/>
          <w:numId w:val="21"/>
        </w:numPr>
        <w:spacing w:before="100" w:beforeAutospacing="1" w:after="100" w:afterAutospacing="1"/>
      </w:pPr>
      <w:r>
        <w:t>调整后OPM每年扩张30-50bps（已持续多年兑现）</w:t>
      </w:r>
    </w:p>
    <w:p w14:paraId="483C4CC3" w14:textId="77777777" w:rsidR="00F027A2" w:rsidRPr="00E23F5E" w:rsidRDefault="00F027A2" w:rsidP="00F027A2">
      <w:pPr>
        <w:pStyle w:val="ae"/>
        <w:rPr>
          <w:b/>
          <w:bCs/>
        </w:rPr>
      </w:pPr>
      <w:r w:rsidRPr="00E23F5E">
        <w:rPr>
          <w:rStyle w:val="af"/>
          <w:b w:val="0"/>
          <w:bCs w:val="0"/>
        </w:rPr>
        <w:t>FY2026具体指引（逐季升级）：</w:t>
      </w:r>
    </w:p>
    <w:p w14:paraId="4C59B3B3" w14:textId="77777777" w:rsidR="00F027A2" w:rsidRDefault="00F027A2" w:rsidP="00F027A2">
      <w:pPr>
        <w:numPr>
          <w:ilvl w:val="0"/>
          <w:numId w:val="22"/>
        </w:numPr>
        <w:spacing w:before="100" w:beforeAutospacing="1" w:after="100" w:afterAutospacing="1"/>
      </w:pPr>
      <w:r>
        <w:lastRenderedPageBreak/>
        <w:t>Q4'25（初始指引）："2026年营业利润率将超过长期30-50个基点的扩张范围"</w:t>
      </w:r>
    </w:p>
    <w:p w14:paraId="284FB238" w14:textId="77777777" w:rsidR="00F027A2" w:rsidRDefault="00F027A2" w:rsidP="00F027A2">
      <w:pPr>
        <w:numPr>
          <w:ilvl w:val="0"/>
          <w:numId w:val="22"/>
        </w:numPr>
        <w:spacing w:before="100" w:beforeAutospacing="1" w:after="100" w:afterAutospacing="1"/>
      </w:pPr>
      <w:r>
        <w:t>Q1'26（更新）："处于传统指引区间（40-60个基点）的上限甚至超出该区间"</w:t>
      </w:r>
    </w:p>
    <w:p w14:paraId="1474E02B" w14:textId="77777777" w:rsidR="00F027A2" w:rsidRDefault="00F027A2" w:rsidP="00F027A2">
      <w:pPr>
        <w:numPr>
          <w:ilvl w:val="0"/>
          <w:numId w:val="22"/>
        </w:numPr>
        <w:spacing w:before="100" w:beforeAutospacing="1" w:after="100" w:afterAutospacing="1"/>
      </w:pPr>
      <w:r>
        <w:t>Q2'26（最新）：确认全年利润率将同比改善，正推进额外成本优化措施</w:t>
      </w:r>
    </w:p>
    <w:p w14:paraId="7A93A456" w14:textId="3E5AD527" w:rsidR="002B5A88" w:rsidRDefault="002B5A88" w:rsidP="002B5A88">
      <w:pPr>
        <w:spacing w:before="100" w:beforeAutospacing="1" w:after="100" w:afterAutospacing="1"/>
      </w:pPr>
      <w:r w:rsidRPr="002B5A88">
        <w:rPr>
          <w:noProof/>
        </w:rPr>
        <w:drawing>
          <wp:inline distT="0" distB="0" distL="0" distR="0" wp14:anchorId="3DB000BA" wp14:editId="333740B0">
            <wp:extent cx="6645910" cy="2249170"/>
            <wp:effectExtent l="0" t="0" r="0" b="0"/>
            <wp:docPr id="115082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9835" name=""/>
                    <pic:cNvPicPr/>
                  </pic:nvPicPr>
                  <pic:blipFill>
                    <a:blip r:embed="rId64"/>
                    <a:stretch>
                      <a:fillRect/>
                    </a:stretch>
                  </pic:blipFill>
                  <pic:spPr>
                    <a:xfrm>
                      <a:off x="0" y="0"/>
                      <a:ext cx="6645910" cy="2249170"/>
                    </a:xfrm>
                    <a:prstGeom prst="rect">
                      <a:avLst/>
                    </a:prstGeom>
                  </pic:spPr>
                </pic:pic>
              </a:graphicData>
            </a:graphic>
          </wp:inline>
        </w:drawing>
      </w:r>
    </w:p>
    <w:p w14:paraId="64A31692" w14:textId="7979D367" w:rsidR="00F55AB0" w:rsidRDefault="00F55AB0" w:rsidP="002B5A88">
      <w:pPr>
        <w:spacing w:before="100" w:beforeAutospacing="1" w:after="100" w:afterAutospacing="1"/>
      </w:pPr>
      <w:r>
        <w:t>调整后净利率在FY2024-FY2025-TTM区间极其稳定，约22.7-22.8%，年度变化仅~10bps。</w:t>
      </w:r>
    </w:p>
    <w:p w14:paraId="166B84BE" w14:textId="3C74C7B3" w:rsidR="006526C0" w:rsidRPr="00F027A2" w:rsidRDefault="002E5806" w:rsidP="00132B67">
      <w:r w:rsidRPr="002E5806">
        <w:rPr>
          <w:noProof/>
        </w:rPr>
        <w:drawing>
          <wp:inline distT="0" distB="0" distL="0" distR="0" wp14:anchorId="671DDF83" wp14:editId="453DAD66">
            <wp:extent cx="6645910" cy="3787775"/>
            <wp:effectExtent l="0" t="0" r="0" b="0"/>
            <wp:docPr id="22838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3433" name=""/>
                    <pic:cNvPicPr/>
                  </pic:nvPicPr>
                  <pic:blipFill>
                    <a:blip r:embed="rId65"/>
                    <a:stretch>
                      <a:fillRect/>
                    </a:stretch>
                  </pic:blipFill>
                  <pic:spPr>
                    <a:xfrm>
                      <a:off x="0" y="0"/>
                      <a:ext cx="6645910" cy="3787775"/>
                    </a:xfrm>
                    <a:prstGeom prst="rect">
                      <a:avLst/>
                    </a:prstGeom>
                  </pic:spPr>
                </pic:pic>
              </a:graphicData>
            </a:graphic>
          </wp:inline>
        </w:drawing>
      </w:r>
    </w:p>
    <w:p w14:paraId="08B88A3F" w14:textId="56EDB33C" w:rsidR="00873D51" w:rsidRDefault="004941FE" w:rsidP="00132B67">
      <w:r w:rsidRPr="004941FE">
        <w:rPr>
          <w:noProof/>
        </w:rPr>
        <w:lastRenderedPageBreak/>
        <w:drawing>
          <wp:inline distT="0" distB="0" distL="0" distR="0" wp14:anchorId="7801F8B6" wp14:editId="5F172AE6">
            <wp:extent cx="6645910" cy="2106295"/>
            <wp:effectExtent l="0" t="0" r="0" b="1905"/>
            <wp:docPr id="105816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251" name=""/>
                    <pic:cNvPicPr/>
                  </pic:nvPicPr>
                  <pic:blipFill>
                    <a:blip r:embed="rId66"/>
                    <a:stretch>
                      <a:fillRect/>
                    </a:stretch>
                  </pic:blipFill>
                  <pic:spPr>
                    <a:xfrm>
                      <a:off x="0" y="0"/>
                      <a:ext cx="6645910" cy="2106295"/>
                    </a:xfrm>
                    <a:prstGeom prst="rect">
                      <a:avLst/>
                    </a:prstGeom>
                  </pic:spPr>
                </pic:pic>
              </a:graphicData>
            </a:graphic>
          </wp:inline>
        </w:drawing>
      </w:r>
    </w:p>
    <w:p w14:paraId="4ACA3385" w14:textId="77777777" w:rsidR="00A029EF" w:rsidRDefault="00A029EF" w:rsidP="00132B67">
      <w:pPr>
        <w:rPr>
          <w:b/>
          <w:bCs/>
        </w:rPr>
      </w:pPr>
    </w:p>
    <w:p w14:paraId="1639A474" w14:textId="043044C0" w:rsidR="003D67C0" w:rsidRPr="00A029EF" w:rsidRDefault="00A029EF" w:rsidP="00132B67">
      <w:pPr>
        <w:rPr>
          <w:b/>
          <w:bCs/>
        </w:rPr>
      </w:pPr>
      <w:r w:rsidRPr="00A029EF">
        <w:rPr>
          <w:rFonts w:hint="eastAsia"/>
          <w:b/>
          <w:bCs/>
        </w:rPr>
        <w:t>股本缩减</w:t>
      </w:r>
    </w:p>
    <w:p w14:paraId="01142229" w14:textId="795AC33E" w:rsidR="00C02998" w:rsidRDefault="00C121D1" w:rsidP="00132B67">
      <w:r w:rsidRPr="00C121D1">
        <w:rPr>
          <w:noProof/>
        </w:rPr>
        <w:drawing>
          <wp:inline distT="0" distB="0" distL="0" distR="0" wp14:anchorId="2A0120E7" wp14:editId="1F33E63B">
            <wp:extent cx="6645910" cy="2533650"/>
            <wp:effectExtent l="0" t="0" r="0" b="6350"/>
            <wp:docPr id="53563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8527" name=""/>
                    <pic:cNvPicPr/>
                  </pic:nvPicPr>
                  <pic:blipFill>
                    <a:blip r:embed="rId67"/>
                    <a:stretch>
                      <a:fillRect/>
                    </a:stretch>
                  </pic:blipFill>
                  <pic:spPr>
                    <a:xfrm>
                      <a:off x="0" y="0"/>
                      <a:ext cx="6645910" cy="2533650"/>
                    </a:xfrm>
                    <a:prstGeom prst="rect">
                      <a:avLst/>
                    </a:prstGeom>
                  </pic:spPr>
                </pic:pic>
              </a:graphicData>
            </a:graphic>
          </wp:inline>
        </w:drawing>
      </w:r>
    </w:p>
    <w:p w14:paraId="4EC45104" w14:textId="167B76FE" w:rsidR="00C02998" w:rsidRDefault="00153982" w:rsidP="00132B67">
      <w:r w:rsidRPr="00435940">
        <w:rPr>
          <w:rStyle w:val="af"/>
          <w:b w:val="0"/>
          <w:bCs w:val="0"/>
        </w:rPr>
        <w:t>FY2026 Capex指引上调至$5.5-6.0B</w:t>
      </w:r>
      <w:r w:rsidR="00CF4A60" w:rsidRPr="000E3641">
        <w:rPr>
          <w:rFonts w:hint="eastAsia"/>
        </w:rPr>
        <w:t>（</w:t>
      </w:r>
      <w:r>
        <w:t>Q2'26从$5.0-5.5B上调），意味着FCF可能收窄至$4.5-5.0B，留给回购的自由现金流进一步减少。但公司有意愿继续加杠杆维持回购规模。</w:t>
      </w:r>
    </w:p>
    <w:p w14:paraId="513BFFF1" w14:textId="1B6067D9" w:rsidR="00C02998" w:rsidRDefault="009222CF" w:rsidP="00132B67">
      <w:r w:rsidRPr="009222CF">
        <w:rPr>
          <w:noProof/>
        </w:rPr>
        <w:drawing>
          <wp:inline distT="0" distB="0" distL="0" distR="0" wp14:anchorId="5C7CA7CD" wp14:editId="0B56D788">
            <wp:extent cx="6645910" cy="1453515"/>
            <wp:effectExtent l="0" t="0" r="0" b="0"/>
            <wp:docPr id="873475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75471" name=""/>
                    <pic:cNvPicPr/>
                  </pic:nvPicPr>
                  <pic:blipFill>
                    <a:blip r:embed="rId68"/>
                    <a:stretch>
                      <a:fillRect/>
                    </a:stretch>
                  </pic:blipFill>
                  <pic:spPr>
                    <a:xfrm>
                      <a:off x="0" y="0"/>
                      <a:ext cx="6645910" cy="1453515"/>
                    </a:xfrm>
                    <a:prstGeom prst="rect">
                      <a:avLst/>
                    </a:prstGeom>
                  </pic:spPr>
                </pic:pic>
              </a:graphicData>
            </a:graphic>
          </wp:inline>
        </w:drawing>
      </w:r>
    </w:p>
    <w:p w14:paraId="4CBB7B46" w14:textId="77777777" w:rsidR="009222CF" w:rsidRDefault="009222CF" w:rsidP="00132B67"/>
    <w:p w14:paraId="5619E6C6" w14:textId="0CD57467" w:rsidR="009222CF" w:rsidRPr="002E7EDA" w:rsidRDefault="002E7EDA" w:rsidP="00132B67">
      <w:pPr>
        <w:rPr>
          <w:b/>
          <w:bCs/>
        </w:rPr>
      </w:pPr>
      <w:r w:rsidRPr="002E7EDA">
        <w:rPr>
          <w:b/>
          <w:bCs/>
        </w:rPr>
        <w:t>三因子合成EPS增速</w:t>
      </w:r>
    </w:p>
    <w:p w14:paraId="1E4469CF" w14:textId="08C219E6" w:rsidR="009222CF" w:rsidRDefault="00845590" w:rsidP="00132B67">
      <w:r w:rsidRPr="00845590">
        <w:rPr>
          <w:noProof/>
        </w:rPr>
        <w:drawing>
          <wp:inline distT="0" distB="0" distL="0" distR="0" wp14:anchorId="19683073" wp14:editId="2C3EBFDF">
            <wp:extent cx="6645910" cy="476885"/>
            <wp:effectExtent l="0" t="0" r="0" b="5715"/>
            <wp:docPr id="84285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0198" name=""/>
                    <pic:cNvPicPr/>
                  </pic:nvPicPr>
                  <pic:blipFill>
                    <a:blip r:embed="rId69"/>
                    <a:stretch>
                      <a:fillRect/>
                    </a:stretch>
                  </pic:blipFill>
                  <pic:spPr>
                    <a:xfrm>
                      <a:off x="0" y="0"/>
                      <a:ext cx="6645910" cy="476885"/>
                    </a:xfrm>
                    <a:prstGeom prst="rect">
                      <a:avLst/>
                    </a:prstGeom>
                  </pic:spPr>
                </pic:pic>
              </a:graphicData>
            </a:graphic>
          </wp:inline>
        </w:drawing>
      </w:r>
    </w:p>
    <w:p w14:paraId="13AB067D" w14:textId="1FC0B42C" w:rsidR="009222CF" w:rsidRDefault="00E11AF6" w:rsidP="00132B67">
      <w:r w:rsidRPr="00E11AF6">
        <w:rPr>
          <w:noProof/>
        </w:rPr>
        <w:drawing>
          <wp:inline distT="0" distB="0" distL="0" distR="0" wp14:anchorId="3ECCB54E" wp14:editId="19116FF4">
            <wp:extent cx="6645910" cy="1240155"/>
            <wp:effectExtent l="0" t="0" r="0" b="4445"/>
            <wp:docPr id="59294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1946" name=""/>
                    <pic:cNvPicPr/>
                  </pic:nvPicPr>
                  <pic:blipFill>
                    <a:blip r:embed="rId70"/>
                    <a:stretch>
                      <a:fillRect/>
                    </a:stretch>
                  </pic:blipFill>
                  <pic:spPr>
                    <a:xfrm>
                      <a:off x="0" y="0"/>
                      <a:ext cx="6645910" cy="1240155"/>
                    </a:xfrm>
                    <a:prstGeom prst="rect">
                      <a:avLst/>
                    </a:prstGeom>
                  </pic:spPr>
                </pic:pic>
              </a:graphicData>
            </a:graphic>
          </wp:inline>
        </w:drawing>
      </w:r>
    </w:p>
    <w:p w14:paraId="3E5FD875" w14:textId="28958EEF" w:rsidR="00333747" w:rsidRDefault="00583E4A" w:rsidP="00132B67">
      <w:r w:rsidRPr="00583E4A">
        <w:rPr>
          <w:noProof/>
        </w:rPr>
        <w:lastRenderedPageBreak/>
        <w:drawing>
          <wp:inline distT="0" distB="0" distL="0" distR="0" wp14:anchorId="0C992910" wp14:editId="1A7156DC">
            <wp:extent cx="6645910" cy="2374900"/>
            <wp:effectExtent l="0" t="0" r="0" b="0"/>
            <wp:docPr id="21623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9665" name=""/>
                    <pic:cNvPicPr/>
                  </pic:nvPicPr>
                  <pic:blipFill>
                    <a:blip r:embed="rId71"/>
                    <a:stretch>
                      <a:fillRect/>
                    </a:stretch>
                  </pic:blipFill>
                  <pic:spPr>
                    <a:xfrm>
                      <a:off x="0" y="0"/>
                      <a:ext cx="6645910" cy="2374900"/>
                    </a:xfrm>
                    <a:prstGeom prst="rect">
                      <a:avLst/>
                    </a:prstGeom>
                  </pic:spPr>
                </pic:pic>
              </a:graphicData>
            </a:graphic>
          </wp:inline>
        </w:drawing>
      </w:r>
    </w:p>
    <w:p w14:paraId="1A393AFE" w14:textId="44092DB3" w:rsidR="004A7F51" w:rsidRDefault="008E5301" w:rsidP="00132B67">
      <w:r w:rsidRPr="008E5301">
        <w:rPr>
          <w:noProof/>
        </w:rPr>
        <w:drawing>
          <wp:inline distT="0" distB="0" distL="0" distR="0" wp14:anchorId="2F2B13A8" wp14:editId="04E38264">
            <wp:extent cx="6645910" cy="1238250"/>
            <wp:effectExtent l="0" t="0" r="0" b="6350"/>
            <wp:docPr id="151234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5343" name=""/>
                    <pic:cNvPicPr/>
                  </pic:nvPicPr>
                  <pic:blipFill>
                    <a:blip r:embed="rId72"/>
                    <a:stretch>
                      <a:fillRect/>
                    </a:stretch>
                  </pic:blipFill>
                  <pic:spPr>
                    <a:xfrm>
                      <a:off x="0" y="0"/>
                      <a:ext cx="6645910" cy="1238250"/>
                    </a:xfrm>
                    <a:prstGeom prst="rect">
                      <a:avLst/>
                    </a:prstGeom>
                  </pic:spPr>
                </pic:pic>
              </a:graphicData>
            </a:graphic>
          </wp:inline>
        </w:drawing>
      </w:r>
    </w:p>
    <w:p w14:paraId="228955B5" w14:textId="77777777" w:rsidR="004A7F51" w:rsidRDefault="004A7F51" w:rsidP="00132B67"/>
    <w:p w14:paraId="52A9FC9B" w14:textId="7354C1F4" w:rsidR="004A7F51" w:rsidRDefault="00640554" w:rsidP="00640554">
      <w:pPr>
        <w:pStyle w:val="2"/>
      </w:pPr>
      <w:r>
        <w:rPr>
          <w:rFonts w:hint="eastAsia"/>
        </w:rPr>
        <w:t>估值</w:t>
      </w:r>
    </w:p>
    <w:p w14:paraId="75B6D34D" w14:textId="6636DEF0" w:rsidR="00640554" w:rsidRDefault="004F1AA6" w:rsidP="00132B67">
      <w:r w:rsidRPr="004F1AA6">
        <w:rPr>
          <w:noProof/>
        </w:rPr>
        <w:drawing>
          <wp:inline distT="0" distB="0" distL="0" distR="0" wp14:anchorId="62137E5E" wp14:editId="59B1E751">
            <wp:extent cx="6645910" cy="4286885"/>
            <wp:effectExtent l="0" t="0" r="0" b="5715"/>
            <wp:docPr id="69041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5878" name=""/>
                    <pic:cNvPicPr/>
                  </pic:nvPicPr>
                  <pic:blipFill>
                    <a:blip r:embed="rId73"/>
                    <a:stretch>
                      <a:fillRect/>
                    </a:stretch>
                  </pic:blipFill>
                  <pic:spPr>
                    <a:xfrm>
                      <a:off x="0" y="0"/>
                      <a:ext cx="6645910" cy="4286885"/>
                    </a:xfrm>
                    <a:prstGeom prst="rect">
                      <a:avLst/>
                    </a:prstGeom>
                  </pic:spPr>
                </pic:pic>
              </a:graphicData>
            </a:graphic>
          </wp:inline>
        </w:drawing>
      </w:r>
    </w:p>
    <w:p w14:paraId="4FF13167" w14:textId="70F46837" w:rsidR="00640554" w:rsidRDefault="004F1AA6" w:rsidP="00132B67">
      <w:r w:rsidRPr="004F1AA6">
        <w:rPr>
          <w:noProof/>
        </w:rPr>
        <w:lastRenderedPageBreak/>
        <w:drawing>
          <wp:inline distT="0" distB="0" distL="0" distR="0" wp14:anchorId="6B4EE8CF" wp14:editId="0E57E6C4">
            <wp:extent cx="6645910" cy="4027805"/>
            <wp:effectExtent l="0" t="0" r="0" b="0"/>
            <wp:docPr id="1239472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2259" name=""/>
                    <pic:cNvPicPr/>
                  </pic:nvPicPr>
                  <pic:blipFill>
                    <a:blip r:embed="rId74"/>
                    <a:stretch>
                      <a:fillRect/>
                    </a:stretch>
                  </pic:blipFill>
                  <pic:spPr>
                    <a:xfrm>
                      <a:off x="0" y="0"/>
                      <a:ext cx="6645910" cy="4027805"/>
                    </a:xfrm>
                    <a:prstGeom prst="rect">
                      <a:avLst/>
                    </a:prstGeom>
                  </pic:spPr>
                </pic:pic>
              </a:graphicData>
            </a:graphic>
          </wp:inline>
        </w:drawing>
      </w:r>
    </w:p>
    <w:p w14:paraId="0B5DF80D" w14:textId="77777777" w:rsidR="00640554" w:rsidRDefault="00640554" w:rsidP="00132B67"/>
    <w:p w14:paraId="6ED993FE" w14:textId="77777777" w:rsidR="00640554" w:rsidRDefault="00640554" w:rsidP="00132B67"/>
    <w:p w14:paraId="66FD255C" w14:textId="77777777" w:rsidR="00640554" w:rsidRDefault="00640554" w:rsidP="00132B67"/>
    <w:p w14:paraId="4816D153" w14:textId="77777777" w:rsidR="00640554" w:rsidRDefault="00640554" w:rsidP="00132B67"/>
    <w:p w14:paraId="16A3121C" w14:textId="77777777" w:rsidR="00640554" w:rsidRDefault="00640554" w:rsidP="00132B67"/>
    <w:p w14:paraId="14A70386" w14:textId="77777777" w:rsidR="00E4535B" w:rsidRDefault="00E4535B" w:rsidP="00132B67"/>
    <w:sectPr w:rsidR="00E4535B" w:rsidSect="00E4535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3234"/>
    <w:multiLevelType w:val="multilevel"/>
    <w:tmpl w:val="4A04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605AF"/>
    <w:multiLevelType w:val="multilevel"/>
    <w:tmpl w:val="86C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63F5F"/>
    <w:multiLevelType w:val="multilevel"/>
    <w:tmpl w:val="B43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542E2"/>
    <w:multiLevelType w:val="multilevel"/>
    <w:tmpl w:val="17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01E2D"/>
    <w:multiLevelType w:val="multilevel"/>
    <w:tmpl w:val="C89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169D"/>
    <w:multiLevelType w:val="multilevel"/>
    <w:tmpl w:val="670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43518"/>
    <w:multiLevelType w:val="multilevel"/>
    <w:tmpl w:val="50BC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10284"/>
    <w:multiLevelType w:val="multilevel"/>
    <w:tmpl w:val="4FF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17603"/>
    <w:multiLevelType w:val="multilevel"/>
    <w:tmpl w:val="512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1743D"/>
    <w:multiLevelType w:val="hybridMultilevel"/>
    <w:tmpl w:val="C5CEF268"/>
    <w:lvl w:ilvl="0" w:tplc="56546AC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892090A"/>
    <w:multiLevelType w:val="multilevel"/>
    <w:tmpl w:val="D4B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3316B"/>
    <w:multiLevelType w:val="multilevel"/>
    <w:tmpl w:val="062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10727"/>
    <w:multiLevelType w:val="multilevel"/>
    <w:tmpl w:val="01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23DD2"/>
    <w:multiLevelType w:val="multilevel"/>
    <w:tmpl w:val="A0E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C74DB"/>
    <w:multiLevelType w:val="multilevel"/>
    <w:tmpl w:val="893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02A22"/>
    <w:multiLevelType w:val="multilevel"/>
    <w:tmpl w:val="268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D6444"/>
    <w:multiLevelType w:val="hybridMultilevel"/>
    <w:tmpl w:val="18B42E74"/>
    <w:lvl w:ilvl="0" w:tplc="0C822DD8">
      <w:start w:val="2"/>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E5B4781"/>
    <w:multiLevelType w:val="multilevel"/>
    <w:tmpl w:val="C68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765BC"/>
    <w:multiLevelType w:val="hybridMultilevel"/>
    <w:tmpl w:val="2D72E0B4"/>
    <w:lvl w:ilvl="0" w:tplc="A2F4DC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27D510F"/>
    <w:multiLevelType w:val="multilevel"/>
    <w:tmpl w:val="D2A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B492C"/>
    <w:multiLevelType w:val="multilevel"/>
    <w:tmpl w:val="BAE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505D5"/>
    <w:multiLevelType w:val="multilevel"/>
    <w:tmpl w:val="ECF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F4AA2"/>
    <w:multiLevelType w:val="multilevel"/>
    <w:tmpl w:val="C94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41CA1"/>
    <w:multiLevelType w:val="multilevel"/>
    <w:tmpl w:val="E25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D7562"/>
    <w:multiLevelType w:val="multilevel"/>
    <w:tmpl w:val="E26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B33049"/>
    <w:multiLevelType w:val="multilevel"/>
    <w:tmpl w:val="1A3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E00EB"/>
    <w:multiLevelType w:val="multilevel"/>
    <w:tmpl w:val="A760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92836"/>
    <w:multiLevelType w:val="multilevel"/>
    <w:tmpl w:val="CCF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01675"/>
    <w:multiLevelType w:val="multilevel"/>
    <w:tmpl w:val="79B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83B9B"/>
    <w:multiLevelType w:val="multilevel"/>
    <w:tmpl w:val="F4B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73FE5"/>
    <w:multiLevelType w:val="multilevel"/>
    <w:tmpl w:val="C70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84602">
    <w:abstractNumId w:val="0"/>
  </w:num>
  <w:num w:numId="2" w16cid:durableId="1422606374">
    <w:abstractNumId w:val="30"/>
  </w:num>
  <w:num w:numId="3" w16cid:durableId="2065250590">
    <w:abstractNumId w:val="22"/>
  </w:num>
  <w:num w:numId="4" w16cid:durableId="1438019070">
    <w:abstractNumId w:val="27"/>
  </w:num>
  <w:num w:numId="5" w16cid:durableId="941305256">
    <w:abstractNumId w:val="28"/>
  </w:num>
  <w:num w:numId="6" w16cid:durableId="147595664">
    <w:abstractNumId w:val="18"/>
  </w:num>
  <w:num w:numId="7" w16cid:durableId="234828421">
    <w:abstractNumId w:val="20"/>
  </w:num>
  <w:num w:numId="8" w16cid:durableId="373966859">
    <w:abstractNumId w:val="15"/>
  </w:num>
  <w:num w:numId="9" w16cid:durableId="2042247239">
    <w:abstractNumId w:val="3"/>
  </w:num>
  <w:num w:numId="10" w16cid:durableId="1382167651">
    <w:abstractNumId w:val="4"/>
  </w:num>
  <w:num w:numId="11" w16cid:durableId="430902283">
    <w:abstractNumId w:val="14"/>
  </w:num>
  <w:num w:numId="12" w16cid:durableId="114375619">
    <w:abstractNumId w:val="7"/>
  </w:num>
  <w:num w:numId="13" w16cid:durableId="1015234206">
    <w:abstractNumId w:val="16"/>
  </w:num>
  <w:num w:numId="14" w16cid:durableId="32315955">
    <w:abstractNumId w:val="24"/>
  </w:num>
  <w:num w:numId="15" w16cid:durableId="2138639963">
    <w:abstractNumId w:val="6"/>
  </w:num>
  <w:num w:numId="16" w16cid:durableId="1729836399">
    <w:abstractNumId w:val="9"/>
  </w:num>
  <w:num w:numId="17" w16cid:durableId="1634795541">
    <w:abstractNumId w:val="8"/>
  </w:num>
  <w:num w:numId="18" w16cid:durableId="1542328183">
    <w:abstractNumId w:val="11"/>
  </w:num>
  <w:num w:numId="19" w16cid:durableId="1343436537">
    <w:abstractNumId w:val="25"/>
  </w:num>
  <w:num w:numId="20" w16cid:durableId="1648196462">
    <w:abstractNumId w:val="23"/>
  </w:num>
  <w:num w:numId="21" w16cid:durableId="977102060">
    <w:abstractNumId w:val="17"/>
  </w:num>
  <w:num w:numId="22" w16cid:durableId="1268122325">
    <w:abstractNumId w:val="19"/>
  </w:num>
  <w:num w:numId="23" w16cid:durableId="885995407">
    <w:abstractNumId w:val="2"/>
  </w:num>
  <w:num w:numId="24" w16cid:durableId="921915639">
    <w:abstractNumId w:val="12"/>
  </w:num>
  <w:num w:numId="25" w16cid:durableId="790132057">
    <w:abstractNumId w:val="10"/>
  </w:num>
  <w:num w:numId="26" w16cid:durableId="2056079159">
    <w:abstractNumId w:val="29"/>
  </w:num>
  <w:num w:numId="27" w16cid:durableId="246618532">
    <w:abstractNumId w:val="13"/>
  </w:num>
  <w:num w:numId="28" w16cid:durableId="840506227">
    <w:abstractNumId w:val="1"/>
  </w:num>
  <w:num w:numId="29" w16cid:durableId="1851483375">
    <w:abstractNumId w:val="21"/>
  </w:num>
  <w:num w:numId="30" w16cid:durableId="1127159737">
    <w:abstractNumId w:val="5"/>
  </w:num>
  <w:num w:numId="31" w16cid:durableId="932325854">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3F3"/>
    <w:rsid w:val="00011B55"/>
    <w:rsid w:val="00013915"/>
    <w:rsid w:val="000211F5"/>
    <w:rsid w:val="00021580"/>
    <w:rsid w:val="00027B84"/>
    <w:rsid w:val="00031120"/>
    <w:rsid w:val="0003763D"/>
    <w:rsid w:val="000427F2"/>
    <w:rsid w:val="0004454C"/>
    <w:rsid w:val="00045291"/>
    <w:rsid w:val="00046445"/>
    <w:rsid w:val="00055759"/>
    <w:rsid w:val="00057312"/>
    <w:rsid w:val="0007299A"/>
    <w:rsid w:val="000878C9"/>
    <w:rsid w:val="000939B5"/>
    <w:rsid w:val="000A1ACB"/>
    <w:rsid w:val="000B560D"/>
    <w:rsid w:val="000B5D63"/>
    <w:rsid w:val="000C5FDD"/>
    <w:rsid w:val="000E3641"/>
    <w:rsid w:val="000F26AA"/>
    <w:rsid w:val="000F43F3"/>
    <w:rsid w:val="001052A5"/>
    <w:rsid w:val="00105F7F"/>
    <w:rsid w:val="001071F2"/>
    <w:rsid w:val="00117A2F"/>
    <w:rsid w:val="00121A46"/>
    <w:rsid w:val="0012635D"/>
    <w:rsid w:val="00127AC6"/>
    <w:rsid w:val="00127EBE"/>
    <w:rsid w:val="00132B67"/>
    <w:rsid w:val="00146D80"/>
    <w:rsid w:val="00152EFB"/>
    <w:rsid w:val="00153982"/>
    <w:rsid w:val="00167D2C"/>
    <w:rsid w:val="00171E23"/>
    <w:rsid w:val="00172192"/>
    <w:rsid w:val="0017695C"/>
    <w:rsid w:val="00191F30"/>
    <w:rsid w:val="001A3C91"/>
    <w:rsid w:val="001A6612"/>
    <w:rsid w:val="001D4720"/>
    <w:rsid w:val="001D5EAC"/>
    <w:rsid w:val="001E292A"/>
    <w:rsid w:val="001F41A5"/>
    <w:rsid w:val="001F5802"/>
    <w:rsid w:val="002009A6"/>
    <w:rsid w:val="0021627F"/>
    <w:rsid w:val="002313A8"/>
    <w:rsid w:val="00232736"/>
    <w:rsid w:val="002340D9"/>
    <w:rsid w:val="002348CA"/>
    <w:rsid w:val="00244990"/>
    <w:rsid w:val="00246C86"/>
    <w:rsid w:val="00252287"/>
    <w:rsid w:val="00292C33"/>
    <w:rsid w:val="002B4AB1"/>
    <w:rsid w:val="002B5A88"/>
    <w:rsid w:val="002C0B9C"/>
    <w:rsid w:val="002C3E5C"/>
    <w:rsid w:val="002C4E6D"/>
    <w:rsid w:val="002D1622"/>
    <w:rsid w:val="002D470D"/>
    <w:rsid w:val="002D5E70"/>
    <w:rsid w:val="002E08B6"/>
    <w:rsid w:val="002E5806"/>
    <w:rsid w:val="002E7D43"/>
    <w:rsid w:val="002E7EDA"/>
    <w:rsid w:val="002F1D13"/>
    <w:rsid w:val="002F3057"/>
    <w:rsid w:val="002F50E8"/>
    <w:rsid w:val="00304234"/>
    <w:rsid w:val="00333747"/>
    <w:rsid w:val="00346481"/>
    <w:rsid w:val="003464D5"/>
    <w:rsid w:val="00350A5F"/>
    <w:rsid w:val="00352465"/>
    <w:rsid w:val="00353E83"/>
    <w:rsid w:val="00354239"/>
    <w:rsid w:val="003549EB"/>
    <w:rsid w:val="00364AF5"/>
    <w:rsid w:val="003657E1"/>
    <w:rsid w:val="00371DCE"/>
    <w:rsid w:val="00380140"/>
    <w:rsid w:val="00385A43"/>
    <w:rsid w:val="00391E6B"/>
    <w:rsid w:val="003A4E92"/>
    <w:rsid w:val="003A5341"/>
    <w:rsid w:val="003D386A"/>
    <w:rsid w:val="003D5898"/>
    <w:rsid w:val="003D67C0"/>
    <w:rsid w:val="003D794C"/>
    <w:rsid w:val="003E52AA"/>
    <w:rsid w:val="003E779A"/>
    <w:rsid w:val="003F0C0D"/>
    <w:rsid w:val="003F6146"/>
    <w:rsid w:val="003F7816"/>
    <w:rsid w:val="00404635"/>
    <w:rsid w:val="00405D6D"/>
    <w:rsid w:val="00413324"/>
    <w:rsid w:val="00415373"/>
    <w:rsid w:val="00416A09"/>
    <w:rsid w:val="0043424F"/>
    <w:rsid w:val="00435940"/>
    <w:rsid w:val="00440ABE"/>
    <w:rsid w:val="00450147"/>
    <w:rsid w:val="0045232B"/>
    <w:rsid w:val="004628DD"/>
    <w:rsid w:val="00463817"/>
    <w:rsid w:val="00465611"/>
    <w:rsid w:val="00473965"/>
    <w:rsid w:val="00490C19"/>
    <w:rsid w:val="004923F2"/>
    <w:rsid w:val="004941FE"/>
    <w:rsid w:val="004A1CBC"/>
    <w:rsid w:val="004A7B77"/>
    <w:rsid w:val="004A7F51"/>
    <w:rsid w:val="004B2A68"/>
    <w:rsid w:val="004B3CE7"/>
    <w:rsid w:val="004C23A0"/>
    <w:rsid w:val="004C3501"/>
    <w:rsid w:val="004C383F"/>
    <w:rsid w:val="004D0A4F"/>
    <w:rsid w:val="004D0DFC"/>
    <w:rsid w:val="004E3171"/>
    <w:rsid w:val="004E491B"/>
    <w:rsid w:val="004F1AA6"/>
    <w:rsid w:val="005118B5"/>
    <w:rsid w:val="00512951"/>
    <w:rsid w:val="00523E19"/>
    <w:rsid w:val="00524FF6"/>
    <w:rsid w:val="00526F74"/>
    <w:rsid w:val="0053256E"/>
    <w:rsid w:val="0053267F"/>
    <w:rsid w:val="00533952"/>
    <w:rsid w:val="00542374"/>
    <w:rsid w:val="00544BB0"/>
    <w:rsid w:val="005455C5"/>
    <w:rsid w:val="005520A6"/>
    <w:rsid w:val="00557BCE"/>
    <w:rsid w:val="0056053F"/>
    <w:rsid w:val="00564C37"/>
    <w:rsid w:val="00566289"/>
    <w:rsid w:val="00567200"/>
    <w:rsid w:val="00570AA7"/>
    <w:rsid w:val="00573755"/>
    <w:rsid w:val="00576F28"/>
    <w:rsid w:val="00580E8D"/>
    <w:rsid w:val="00581A42"/>
    <w:rsid w:val="00582304"/>
    <w:rsid w:val="0058299B"/>
    <w:rsid w:val="00583E4A"/>
    <w:rsid w:val="00594883"/>
    <w:rsid w:val="005B6224"/>
    <w:rsid w:val="005B7E7B"/>
    <w:rsid w:val="005C25F5"/>
    <w:rsid w:val="005C5FF8"/>
    <w:rsid w:val="005D7960"/>
    <w:rsid w:val="005E210B"/>
    <w:rsid w:val="0060103D"/>
    <w:rsid w:val="00602113"/>
    <w:rsid w:val="006074A0"/>
    <w:rsid w:val="00615B81"/>
    <w:rsid w:val="00616D6C"/>
    <w:rsid w:val="00640554"/>
    <w:rsid w:val="006526C0"/>
    <w:rsid w:val="006556D9"/>
    <w:rsid w:val="0066022C"/>
    <w:rsid w:val="00670F72"/>
    <w:rsid w:val="00677B30"/>
    <w:rsid w:val="00684CDA"/>
    <w:rsid w:val="006B08E1"/>
    <w:rsid w:val="006B5CB4"/>
    <w:rsid w:val="006C0C23"/>
    <w:rsid w:val="006D27B2"/>
    <w:rsid w:val="006D6830"/>
    <w:rsid w:val="006E2C28"/>
    <w:rsid w:val="006E34B5"/>
    <w:rsid w:val="006F17C4"/>
    <w:rsid w:val="006F2522"/>
    <w:rsid w:val="006F2CD6"/>
    <w:rsid w:val="00706377"/>
    <w:rsid w:val="00706617"/>
    <w:rsid w:val="00721696"/>
    <w:rsid w:val="00741009"/>
    <w:rsid w:val="00757821"/>
    <w:rsid w:val="0076756D"/>
    <w:rsid w:val="00771781"/>
    <w:rsid w:val="00784F16"/>
    <w:rsid w:val="00790FEE"/>
    <w:rsid w:val="007935AF"/>
    <w:rsid w:val="00796C8F"/>
    <w:rsid w:val="007A01D0"/>
    <w:rsid w:val="007A26A2"/>
    <w:rsid w:val="007A5A18"/>
    <w:rsid w:val="007B2F96"/>
    <w:rsid w:val="007B5848"/>
    <w:rsid w:val="007C1CC0"/>
    <w:rsid w:val="007C33A4"/>
    <w:rsid w:val="007D0E8F"/>
    <w:rsid w:val="007E28E4"/>
    <w:rsid w:val="007E423B"/>
    <w:rsid w:val="007E5BBE"/>
    <w:rsid w:val="007E6353"/>
    <w:rsid w:val="007E752A"/>
    <w:rsid w:val="007F373B"/>
    <w:rsid w:val="00803181"/>
    <w:rsid w:val="00812FA4"/>
    <w:rsid w:val="00814933"/>
    <w:rsid w:val="0082032F"/>
    <w:rsid w:val="0082146F"/>
    <w:rsid w:val="0082516D"/>
    <w:rsid w:val="008273E5"/>
    <w:rsid w:val="0084450A"/>
    <w:rsid w:val="00845590"/>
    <w:rsid w:val="00845CD0"/>
    <w:rsid w:val="00847EA7"/>
    <w:rsid w:val="00850DD9"/>
    <w:rsid w:val="0085192D"/>
    <w:rsid w:val="00854D1F"/>
    <w:rsid w:val="00872D14"/>
    <w:rsid w:val="00873D51"/>
    <w:rsid w:val="0087549A"/>
    <w:rsid w:val="00885B78"/>
    <w:rsid w:val="0088676D"/>
    <w:rsid w:val="00895362"/>
    <w:rsid w:val="00896B12"/>
    <w:rsid w:val="008A0CD2"/>
    <w:rsid w:val="008A2742"/>
    <w:rsid w:val="008A529C"/>
    <w:rsid w:val="008B0D6B"/>
    <w:rsid w:val="008B2A84"/>
    <w:rsid w:val="008B2B81"/>
    <w:rsid w:val="008B482D"/>
    <w:rsid w:val="008C7D5E"/>
    <w:rsid w:val="008D27BE"/>
    <w:rsid w:val="008E4C75"/>
    <w:rsid w:val="008E5301"/>
    <w:rsid w:val="00902BF7"/>
    <w:rsid w:val="009054A2"/>
    <w:rsid w:val="00905B10"/>
    <w:rsid w:val="00906A5A"/>
    <w:rsid w:val="00912B9A"/>
    <w:rsid w:val="00920EF3"/>
    <w:rsid w:val="009216A9"/>
    <w:rsid w:val="009222CF"/>
    <w:rsid w:val="0092253B"/>
    <w:rsid w:val="009230BA"/>
    <w:rsid w:val="009348F8"/>
    <w:rsid w:val="009566B4"/>
    <w:rsid w:val="009736AC"/>
    <w:rsid w:val="0098136F"/>
    <w:rsid w:val="009834D3"/>
    <w:rsid w:val="009856A9"/>
    <w:rsid w:val="00994DDB"/>
    <w:rsid w:val="009A5A6D"/>
    <w:rsid w:val="009E1CB4"/>
    <w:rsid w:val="009E3D59"/>
    <w:rsid w:val="009E7D3D"/>
    <w:rsid w:val="009F14D7"/>
    <w:rsid w:val="009F6BEA"/>
    <w:rsid w:val="00A026A7"/>
    <w:rsid w:val="00A029EF"/>
    <w:rsid w:val="00A271CA"/>
    <w:rsid w:val="00A27231"/>
    <w:rsid w:val="00A31D76"/>
    <w:rsid w:val="00A35641"/>
    <w:rsid w:val="00A476FE"/>
    <w:rsid w:val="00A55467"/>
    <w:rsid w:val="00A56BFF"/>
    <w:rsid w:val="00A65949"/>
    <w:rsid w:val="00A85A3E"/>
    <w:rsid w:val="00A92E0A"/>
    <w:rsid w:val="00AA1C51"/>
    <w:rsid w:val="00AA37F8"/>
    <w:rsid w:val="00AB235F"/>
    <w:rsid w:val="00AC5AB2"/>
    <w:rsid w:val="00AD295A"/>
    <w:rsid w:val="00AD4A7E"/>
    <w:rsid w:val="00AF0489"/>
    <w:rsid w:val="00AF1B52"/>
    <w:rsid w:val="00AF1CC9"/>
    <w:rsid w:val="00AF4988"/>
    <w:rsid w:val="00B013D9"/>
    <w:rsid w:val="00B02D02"/>
    <w:rsid w:val="00B0566B"/>
    <w:rsid w:val="00B0713F"/>
    <w:rsid w:val="00B104BA"/>
    <w:rsid w:val="00B14001"/>
    <w:rsid w:val="00B16BCB"/>
    <w:rsid w:val="00B17A85"/>
    <w:rsid w:val="00B23979"/>
    <w:rsid w:val="00B31849"/>
    <w:rsid w:val="00B37284"/>
    <w:rsid w:val="00B42FC0"/>
    <w:rsid w:val="00B43EC1"/>
    <w:rsid w:val="00B44931"/>
    <w:rsid w:val="00B52651"/>
    <w:rsid w:val="00B62A5A"/>
    <w:rsid w:val="00B71F78"/>
    <w:rsid w:val="00B723C5"/>
    <w:rsid w:val="00B73D54"/>
    <w:rsid w:val="00B73D85"/>
    <w:rsid w:val="00B77AF5"/>
    <w:rsid w:val="00BA437E"/>
    <w:rsid w:val="00BC4783"/>
    <w:rsid w:val="00BC67A2"/>
    <w:rsid w:val="00BD193E"/>
    <w:rsid w:val="00BE1F00"/>
    <w:rsid w:val="00BE77AC"/>
    <w:rsid w:val="00BF1322"/>
    <w:rsid w:val="00BF1E0E"/>
    <w:rsid w:val="00C02998"/>
    <w:rsid w:val="00C04CA3"/>
    <w:rsid w:val="00C1131E"/>
    <w:rsid w:val="00C121D1"/>
    <w:rsid w:val="00C1373B"/>
    <w:rsid w:val="00C163CF"/>
    <w:rsid w:val="00C3252C"/>
    <w:rsid w:val="00C508DE"/>
    <w:rsid w:val="00C50FD8"/>
    <w:rsid w:val="00C55B2B"/>
    <w:rsid w:val="00C55F67"/>
    <w:rsid w:val="00C56DF4"/>
    <w:rsid w:val="00C64304"/>
    <w:rsid w:val="00C73B01"/>
    <w:rsid w:val="00C810C9"/>
    <w:rsid w:val="00C82B9C"/>
    <w:rsid w:val="00C85EED"/>
    <w:rsid w:val="00C86BCE"/>
    <w:rsid w:val="00C87DC3"/>
    <w:rsid w:val="00C91847"/>
    <w:rsid w:val="00CA2F5E"/>
    <w:rsid w:val="00CB5A83"/>
    <w:rsid w:val="00CC08FC"/>
    <w:rsid w:val="00CC2841"/>
    <w:rsid w:val="00CC4DE4"/>
    <w:rsid w:val="00CD7DFD"/>
    <w:rsid w:val="00CE4EA4"/>
    <w:rsid w:val="00CE5B63"/>
    <w:rsid w:val="00CF39F9"/>
    <w:rsid w:val="00CF4A60"/>
    <w:rsid w:val="00CF616A"/>
    <w:rsid w:val="00D07E14"/>
    <w:rsid w:val="00D12A15"/>
    <w:rsid w:val="00D215C6"/>
    <w:rsid w:val="00D355B0"/>
    <w:rsid w:val="00D416D0"/>
    <w:rsid w:val="00D5561A"/>
    <w:rsid w:val="00D704C8"/>
    <w:rsid w:val="00D7294F"/>
    <w:rsid w:val="00D74CAC"/>
    <w:rsid w:val="00D74FAF"/>
    <w:rsid w:val="00D81FCF"/>
    <w:rsid w:val="00D90CFB"/>
    <w:rsid w:val="00D937D2"/>
    <w:rsid w:val="00D94982"/>
    <w:rsid w:val="00D95BED"/>
    <w:rsid w:val="00D97725"/>
    <w:rsid w:val="00DA74F6"/>
    <w:rsid w:val="00DB4604"/>
    <w:rsid w:val="00DB61AA"/>
    <w:rsid w:val="00DB684B"/>
    <w:rsid w:val="00DC035D"/>
    <w:rsid w:val="00DC1F08"/>
    <w:rsid w:val="00DC2B4A"/>
    <w:rsid w:val="00DC41E4"/>
    <w:rsid w:val="00DD1946"/>
    <w:rsid w:val="00DD3933"/>
    <w:rsid w:val="00DD60AA"/>
    <w:rsid w:val="00DF0A5B"/>
    <w:rsid w:val="00DF3BFC"/>
    <w:rsid w:val="00DF4ACB"/>
    <w:rsid w:val="00E0093A"/>
    <w:rsid w:val="00E009CE"/>
    <w:rsid w:val="00E0146B"/>
    <w:rsid w:val="00E07B6D"/>
    <w:rsid w:val="00E11AF6"/>
    <w:rsid w:val="00E161BE"/>
    <w:rsid w:val="00E17336"/>
    <w:rsid w:val="00E21852"/>
    <w:rsid w:val="00E23F5E"/>
    <w:rsid w:val="00E2477C"/>
    <w:rsid w:val="00E26656"/>
    <w:rsid w:val="00E30B01"/>
    <w:rsid w:val="00E379C3"/>
    <w:rsid w:val="00E40504"/>
    <w:rsid w:val="00E43316"/>
    <w:rsid w:val="00E44F4C"/>
    <w:rsid w:val="00E4535B"/>
    <w:rsid w:val="00E45428"/>
    <w:rsid w:val="00E50975"/>
    <w:rsid w:val="00E5464F"/>
    <w:rsid w:val="00E7264D"/>
    <w:rsid w:val="00E76FE4"/>
    <w:rsid w:val="00E8309B"/>
    <w:rsid w:val="00E84C51"/>
    <w:rsid w:val="00E8684F"/>
    <w:rsid w:val="00EA53A8"/>
    <w:rsid w:val="00EB16E3"/>
    <w:rsid w:val="00EB430B"/>
    <w:rsid w:val="00EB5DB8"/>
    <w:rsid w:val="00EC6550"/>
    <w:rsid w:val="00EE2A25"/>
    <w:rsid w:val="00EF3B47"/>
    <w:rsid w:val="00F027A2"/>
    <w:rsid w:val="00F03B23"/>
    <w:rsid w:val="00F0653C"/>
    <w:rsid w:val="00F06BA9"/>
    <w:rsid w:val="00F160BE"/>
    <w:rsid w:val="00F202CC"/>
    <w:rsid w:val="00F22B97"/>
    <w:rsid w:val="00F24F73"/>
    <w:rsid w:val="00F2557E"/>
    <w:rsid w:val="00F40CC3"/>
    <w:rsid w:val="00F421B8"/>
    <w:rsid w:val="00F44337"/>
    <w:rsid w:val="00F4475F"/>
    <w:rsid w:val="00F44A04"/>
    <w:rsid w:val="00F54949"/>
    <w:rsid w:val="00F55AB0"/>
    <w:rsid w:val="00F56B8A"/>
    <w:rsid w:val="00F60CAA"/>
    <w:rsid w:val="00F75F8B"/>
    <w:rsid w:val="00F830CA"/>
    <w:rsid w:val="00F92384"/>
    <w:rsid w:val="00F95461"/>
    <w:rsid w:val="00FA0480"/>
    <w:rsid w:val="00FA2E95"/>
    <w:rsid w:val="00FA4E13"/>
    <w:rsid w:val="00FB4C52"/>
    <w:rsid w:val="00FD2F2A"/>
    <w:rsid w:val="00FD3A2D"/>
    <w:rsid w:val="00FD7147"/>
    <w:rsid w:val="00FE6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2140"/>
  <w15:chartTrackingRefBased/>
  <w15:docId w15:val="{AC6E732E-D92B-A94C-AF7D-0C000F11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53B"/>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0F43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43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43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43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0F43F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F43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43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3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43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43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43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43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43F3"/>
    <w:rPr>
      <w:rFonts w:cstheme="majorBidi"/>
      <w:color w:val="0F4761" w:themeColor="accent1" w:themeShade="BF"/>
      <w:sz w:val="28"/>
      <w:szCs w:val="28"/>
    </w:rPr>
  </w:style>
  <w:style w:type="character" w:customStyle="1" w:styleId="50">
    <w:name w:val="标题 5 字符"/>
    <w:basedOn w:val="a0"/>
    <w:link w:val="5"/>
    <w:uiPriority w:val="9"/>
    <w:rsid w:val="000F43F3"/>
    <w:rPr>
      <w:rFonts w:cstheme="majorBidi"/>
      <w:color w:val="0F4761" w:themeColor="accent1" w:themeShade="BF"/>
      <w:sz w:val="24"/>
    </w:rPr>
  </w:style>
  <w:style w:type="character" w:customStyle="1" w:styleId="60">
    <w:name w:val="标题 6 字符"/>
    <w:basedOn w:val="a0"/>
    <w:link w:val="6"/>
    <w:uiPriority w:val="9"/>
    <w:semiHidden/>
    <w:rsid w:val="000F43F3"/>
    <w:rPr>
      <w:rFonts w:cstheme="majorBidi"/>
      <w:b/>
      <w:bCs/>
      <w:color w:val="0F4761" w:themeColor="accent1" w:themeShade="BF"/>
    </w:rPr>
  </w:style>
  <w:style w:type="character" w:customStyle="1" w:styleId="70">
    <w:name w:val="标题 7 字符"/>
    <w:basedOn w:val="a0"/>
    <w:link w:val="7"/>
    <w:uiPriority w:val="9"/>
    <w:semiHidden/>
    <w:rsid w:val="000F43F3"/>
    <w:rPr>
      <w:rFonts w:cstheme="majorBidi"/>
      <w:b/>
      <w:bCs/>
      <w:color w:val="595959" w:themeColor="text1" w:themeTint="A6"/>
    </w:rPr>
  </w:style>
  <w:style w:type="character" w:customStyle="1" w:styleId="80">
    <w:name w:val="标题 8 字符"/>
    <w:basedOn w:val="a0"/>
    <w:link w:val="8"/>
    <w:uiPriority w:val="9"/>
    <w:semiHidden/>
    <w:rsid w:val="000F43F3"/>
    <w:rPr>
      <w:rFonts w:cstheme="majorBidi"/>
      <w:color w:val="595959" w:themeColor="text1" w:themeTint="A6"/>
    </w:rPr>
  </w:style>
  <w:style w:type="character" w:customStyle="1" w:styleId="90">
    <w:name w:val="标题 9 字符"/>
    <w:basedOn w:val="a0"/>
    <w:link w:val="9"/>
    <w:uiPriority w:val="9"/>
    <w:semiHidden/>
    <w:rsid w:val="000F43F3"/>
    <w:rPr>
      <w:rFonts w:eastAsiaTheme="majorEastAsia" w:cstheme="majorBidi"/>
      <w:color w:val="595959" w:themeColor="text1" w:themeTint="A6"/>
    </w:rPr>
  </w:style>
  <w:style w:type="paragraph" w:styleId="a3">
    <w:name w:val="Title"/>
    <w:basedOn w:val="a"/>
    <w:next w:val="a"/>
    <w:link w:val="a4"/>
    <w:uiPriority w:val="10"/>
    <w:qFormat/>
    <w:rsid w:val="000F43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4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3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43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43F3"/>
    <w:pPr>
      <w:spacing w:before="160"/>
      <w:jc w:val="center"/>
    </w:pPr>
    <w:rPr>
      <w:i/>
      <w:iCs/>
      <w:color w:val="404040" w:themeColor="text1" w:themeTint="BF"/>
    </w:rPr>
  </w:style>
  <w:style w:type="character" w:customStyle="1" w:styleId="a8">
    <w:name w:val="引用 字符"/>
    <w:basedOn w:val="a0"/>
    <w:link w:val="a7"/>
    <w:uiPriority w:val="29"/>
    <w:rsid w:val="000F43F3"/>
    <w:rPr>
      <w:i/>
      <w:iCs/>
      <w:color w:val="404040" w:themeColor="text1" w:themeTint="BF"/>
    </w:rPr>
  </w:style>
  <w:style w:type="paragraph" w:styleId="a9">
    <w:name w:val="List Paragraph"/>
    <w:basedOn w:val="a"/>
    <w:uiPriority w:val="34"/>
    <w:qFormat/>
    <w:rsid w:val="000F43F3"/>
    <w:pPr>
      <w:ind w:left="720"/>
      <w:contextualSpacing/>
    </w:pPr>
  </w:style>
  <w:style w:type="character" w:styleId="aa">
    <w:name w:val="Intense Emphasis"/>
    <w:basedOn w:val="a0"/>
    <w:uiPriority w:val="21"/>
    <w:qFormat/>
    <w:rsid w:val="000F43F3"/>
    <w:rPr>
      <w:i/>
      <w:iCs/>
      <w:color w:val="0F4761" w:themeColor="accent1" w:themeShade="BF"/>
    </w:rPr>
  </w:style>
  <w:style w:type="paragraph" w:styleId="ab">
    <w:name w:val="Intense Quote"/>
    <w:basedOn w:val="a"/>
    <w:next w:val="a"/>
    <w:link w:val="ac"/>
    <w:uiPriority w:val="30"/>
    <w:qFormat/>
    <w:rsid w:val="000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43F3"/>
    <w:rPr>
      <w:i/>
      <w:iCs/>
      <w:color w:val="0F4761" w:themeColor="accent1" w:themeShade="BF"/>
    </w:rPr>
  </w:style>
  <w:style w:type="character" w:styleId="ad">
    <w:name w:val="Intense Reference"/>
    <w:basedOn w:val="a0"/>
    <w:uiPriority w:val="32"/>
    <w:qFormat/>
    <w:rsid w:val="000F43F3"/>
    <w:rPr>
      <w:b/>
      <w:bCs/>
      <w:smallCaps/>
      <w:color w:val="0F4761" w:themeColor="accent1" w:themeShade="BF"/>
      <w:spacing w:val="5"/>
    </w:rPr>
  </w:style>
  <w:style w:type="paragraph" w:styleId="ae">
    <w:name w:val="Normal (Web)"/>
    <w:basedOn w:val="a"/>
    <w:uiPriority w:val="99"/>
    <w:unhideWhenUsed/>
    <w:rsid w:val="007A26A2"/>
    <w:pPr>
      <w:spacing w:before="100" w:beforeAutospacing="1" w:after="100" w:afterAutospacing="1"/>
    </w:pPr>
  </w:style>
  <w:style w:type="character" w:styleId="af">
    <w:name w:val="Strong"/>
    <w:basedOn w:val="a0"/>
    <w:uiPriority w:val="22"/>
    <w:qFormat/>
    <w:rsid w:val="00B62A5A"/>
    <w:rPr>
      <w:b/>
      <w:bCs/>
    </w:rPr>
  </w:style>
  <w:style w:type="table" w:styleId="af0">
    <w:name w:val="Table Grid"/>
    <w:basedOn w:val="a1"/>
    <w:uiPriority w:val="39"/>
    <w:rsid w:val="00FA0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mphasis"/>
    <w:basedOn w:val="a0"/>
    <w:uiPriority w:val="20"/>
    <w:qFormat/>
    <w:rsid w:val="003D38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4FC40-2A13-0F40-B912-4DCADBEAA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33</Pages>
  <Words>2535</Words>
  <Characters>14453</Characters>
  <Application>Microsoft Office Word</Application>
  <DocSecurity>0</DocSecurity>
  <Lines>120</Lines>
  <Paragraphs>33</Paragraphs>
  <ScaleCrop>false</ScaleCrop>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438</cp:revision>
  <dcterms:created xsi:type="dcterms:W3CDTF">2026-09-14T05:03:00Z</dcterms:created>
  <dcterms:modified xsi:type="dcterms:W3CDTF">2026-09-20T02:16:00Z</dcterms:modified>
</cp:coreProperties>
</file>