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А-25-D5UMC-сон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(«SARDOR» МАСЪУЛИЯТИ ЧЕКЛАНГАН ЖАМИЯТ) томонидан мазкур шартномани Ўзбекистон Республикаси Ягона интерактив давлат хизматлари портали орқали 2026 йил 1-июл да келиб тушган А-25-D5UMC-сон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Фурқат кўчаси, №49 манзилда жойлашган «SARDOR» МАСЪУЛИЯТИ ЧЕКЛАНГАН ЖАМИЯТ объекти (ер участкаси)га туташ ҳудуддаги кейинчалик “Ер участкаси” деб номланувчи 55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10:11:03:06:02:0100.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19-сон,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«SARDOR» МАСЪУЛИЯТИ ЧЕКЛАНГАН ЖАМИЯТ</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Фурқат кўчаси, №49</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Усмонов Сардор</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ART-2026-A-19-сонли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23 760 000.00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Усмонов Сардор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