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50.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PLS</w:t>
      </w:r>
      <w:r>
        <w:t xml:space="preserve"> </w:t>
      </w:r>
      <w:r>
        <w:t xml:space="preserve">-</w:t>
      </w:r>
      <w:r>
        <w:t xml:space="preserve"> </w:t>
      </w:r>
      <w:r>
        <w:t xml:space="preserve">Agencias</w:t>
      </w:r>
    </w:p>
    <w:p>
      <w:pPr>
        <w:pStyle w:val="Subtitle"/>
      </w:pPr>
      <w:r>
        <w:t xml:space="preserve">Artículo</w:t>
      </w:r>
      <w:r>
        <w:t xml:space="preserve"> </w:t>
      </w:r>
      <w:r>
        <w:t xml:space="preserve">2</w:t>
      </w:r>
      <w:r>
        <w:t xml:space="preserve"> </w:t>
      </w:r>
      <w:r>
        <w:t xml:space="preserve">(versión</w:t>
      </w:r>
      <w:r>
        <w:t xml:space="preserve"> </w:t>
      </w:r>
      <w:r>
        <w:t xml:space="preserve">1)</w:t>
      </w:r>
    </w:p>
    <w:p>
      <w:pPr>
        <w:pStyle w:val="Author"/>
      </w:pPr>
      <w:r>
        <w:t xml:space="preserve">Roberto</w:t>
      </w:r>
      <w:r>
        <w:t xml:space="preserve"> </w:t>
      </w:r>
      <w:r>
        <w:t xml:space="preserve">Gil-Saura</w:t>
      </w:r>
    </w:p>
    <w:p>
      <w:pPr>
        <w:pStyle w:val="Date"/>
      </w:pPr>
      <w:r>
        <w:t xml:space="preserve">2/4/2021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NOTA: Modelo completo, pero quitamos LOY3.</w:t>
      </w:r>
      <w:r>
        <w:t xml:space="preserve"> </w:t>
      </w:r>
      <w:r>
        <w:t xml:space="preserve">NOTA: Incluye constructo de segundo orden</w:t>
      </w:r>
    </w:p>
    <w:bookmarkStart w:id="22" w:name="tablas-muestra"/>
    <w:p>
      <w:pPr>
        <w:pStyle w:val="Heading1"/>
      </w:pPr>
      <w:r>
        <w:t xml:space="preserve">Tablas muestra</w:t>
      </w:r>
    </w:p>
    <w:p>
      <w:pPr>
        <w:pStyle w:val="FirstParagraph"/>
      </w:pPr>
      <w:r>
        <w:drawing>
          <wp:inline>
            <wp:extent cx="5334000" cy="3163062"/>
            <wp:effectExtent b="0" l="0" r="0" t="0"/>
            <wp:docPr descr="" title="" id="1" name="Picture"/>
            <a:graphic>
              <a:graphicData uri="http://schemas.openxmlformats.org/drawingml/2006/picture">
                <pic:pic>
                  <pic:nvPicPr>
                    <pic:cNvPr descr="art2.v01_files/figure-docx/unnamed-chunk-1-1.png" id="0" name="Picture"/>
                    <pic:cNvPicPr>
                      <a:picLocks noChangeArrowheads="1" noChangeAspect="1"/>
                    </pic:cNvPicPr>
                  </pic:nvPicPr>
                  <pic:blipFill>
                    <a:blip r:embed="rId20"/>
                    <a:stretch>
                      <a:fillRect/>
                    </a:stretch>
                  </pic:blipFill>
                  <pic:spPr bwMode="auto">
                    <a:xfrm>
                      <a:off x="0" y="0"/>
                      <a:ext cx="5334000" cy="3163062"/>
                    </a:xfrm>
                    <a:prstGeom prst="rect">
                      <a:avLst/>
                    </a:prstGeom>
                    <a:noFill/>
                    <a:ln w="9525">
                      <a:noFill/>
                      <a:headEnd/>
                      <a:tailEnd/>
                    </a:ln>
                  </pic:spPr>
                </pic:pic>
              </a:graphicData>
            </a:graphic>
          </wp:inline>
        </w:drawing>
      </w:r>
      <w:r>
        <w:drawing>
          <wp:inline>
            <wp:extent cx="5334000" cy="3093720"/>
            <wp:effectExtent b="0" l="0" r="0" t="0"/>
            <wp:docPr descr="" title="" id="1" name="Picture"/>
            <a:graphic>
              <a:graphicData uri="http://schemas.openxmlformats.org/drawingml/2006/picture">
                <pic:pic>
                  <pic:nvPicPr>
                    <pic:cNvPr descr="art2.v01_files/figure-docx/unnamed-chunk-1-2.png" id="0" name="Picture"/>
                    <pic:cNvPicPr>
                      <a:picLocks noChangeArrowheads="1" noChangeAspect="1"/>
                    </pic:cNvPicPr>
                  </pic:nvPicPr>
                  <pic:blipFill>
                    <a:blip r:embed="rId21"/>
                    <a:stretch>
                      <a:fillRect/>
                    </a:stretch>
                  </pic:blipFill>
                  <pic:spPr bwMode="auto">
                    <a:xfrm>
                      <a:off x="0" y="0"/>
                      <a:ext cx="5334000" cy="3093720"/>
                    </a:xfrm>
                    <a:prstGeom prst="rect">
                      <a:avLst/>
                    </a:prstGeom>
                    <a:noFill/>
                    <a:ln w="9525">
                      <a:noFill/>
                      <a:headEnd/>
                      <a:tailEnd/>
                    </a:ln>
                  </pic:spPr>
                </pic:pic>
              </a:graphicData>
            </a:graphic>
          </wp:inline>
        </w:drawing>
      </w:r>
    </w:p>
    <w:bookmarkEnd w:id="22"/>
    <w:bookmarkStart w:id="45" w:name="modelización"/>
    <w:p>
      <w:pPr>
        <w:pStyle w:val="Heading1"/>
      </w:pPr>
      <w:r>
        <w:t xml:space="preserve">Modelización</w:t>
      </w:r>
    </w:p>
    <w:p>
      <w:pPr>
        <w:pStyle w:val="FirstParagraph"/>
      </w:pPr>
      <w:r>
        <w:t xml:space="preserve">El modelo de medida es el siguiente:</w:t>
      </w:r>
    </w:p>
    <w:p>
      <w:pPr>
        <w:pStyle w:val="CaptionedFigure"/>
      </w:pPr>
      <w:r>
        <w:drawing>
          <wp:inline>
            <wp:extent cx="5334000" cy="3093720"/>
            <wp:effectExtent b="0" l="0" r="0" t="0"/>
            <wp:docPr descr="Modelo de medida" title="" id="1" name="Picture"/>
            <a:graphic>
              <a:graphicData uri="http://schemas.openxmlformats.org/drawingml/2006/picture">
                <pic:pic>
                  <pic:nvPicPr>
                    <pic:cNvPr descr="art2.v01_files/figure-docx/unnamed-chunk-3-1.png" id="0" name="Picture"/>
                    <pic:cNvPicPr>
                      <a:picLocks noChangeArrowheads="1" noChangeAspect="1"/>
                    </pic:cNvPicPr>
                  </pic:nvPicPr>
                  <pic:blipFill>
                    <a:blip r:embed="rId23"/>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Modelo de medida</w:t>
      </w:r>
    </w:p>
    <w:p>
      <w:pPr>
        <w:pStyle w:val="BodyText"/>
      </w:pPr>
      <w:r>
        <w:t xml:space="preserve">El modelo estructural es el siguiente:</w:t>
      </w:r>
    </w:p>
    <w:p>
      <w:pPr>
        <w:pStyle w:val="CaptionedFigure"/>
      </w:pPr>
      <w:r>
        <w:drawing>
          <wp:inline>
            <wp:extent cx="5334000" cy="3093720"/>
            <wp:effectExtent b="0" l="0" r="0" t="0"/>
            <wp:docPr descr="Modelo estructural" title="" id="1" name="Picture"/>
            <a:graphic>
              <a:graphicData uri="http://schemas.openxmlformats.org/drawingml/2006/picture">
                <pic:pic>
                  <pic:nvPicPr>
                    <pic:cNvPr descr="art2.v01_files/figure-docx/unnamed-chunk-4-1.png" id="0" name="Picture"/>
                    <pic:cNvPicPr>
                      <a:picLocks noChangeArrowheads="1" noChangeAspect="1"/>
                    </pic:cNvPicPr>
                  </pic:nvPicPr>
                  <pic:blipFill>
                    <a:blip r:embed="rId24"/>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Modelo estructural</w:t>
      </w:r>
    </w:p>
    <w:bookmarkStart w:id="28" w:name="análisis-de-la-fiabilidad"/>
    <w:p>
      <w:pPr>
        <w:pStyle w:val="Heading2"/>
      </w:pPr>
      <w:r>
        <w:t xml:space="preserve">Análisis de la fiabilidad</w:t>
      </w:r>
    </w:p>
    <w:p>
      <w:pPr>
        <w:pStyle w:val="FirstParagraph"/>
      </w:pPr>
      <w:r>
        <w:t xml:space="preserve">Para el modelo de medida se han considerado composites, mode A (reflectivos???). De este modo, el primer paso debe ser observar el resumen de los indicadores de fiabilidad, consistencia interna y validez.</w:t>
      </w:r>
    </w:p>
    <w:p>
      <w:pPr>
        <w:pStyle w:val="BodyText"/>
      </w:pPr>
      <w:r>
        <w:t xml:space="preserve">El resultado del análisis muestra todas las escalas que apoyan las variables latentes tienen un</w:t>
      </w:r>
      <w:r>
        <w:t xml:space="preserve"> </w:t>
      </w:r>
      <w:r>
        <w:rPr>
          <w:i/>
        </w:rPr>
        <w:t xml:space="preserve">Cronbach’s alpha</w:t>
      </w:r>
      <w:r>
        <w:t xml:space="preserve"> </w:t>
      </w:r>
      <w:r>
        <w:t xml:space="preserve">mayor que 0.7, completado por una fiabilidad del compuesto</w:t>
      </w:r>
      <w:r>
        <w:t xml:space="preserve"> </w:t>
      </w:r>
      <w:r>
        <w:rPr>
          <w:i/>
        </w:rPr>
        <w:t xml:space="preserve">rhoC</w:t>
      </w:r>
      <w:r>
        <w:t xml:space="preserve"> </w:t>
      </w:r>
      <w:r>
        <w:t xml:space="preserve">también por encima de 0.7. para valores superiores a 0.9</w:t>
      </w:r>
      <w:r>
        <w:rPr>
          <w:rStyle w:val="FootnoteReference"/>
        </w:rPr>
        <w:footnoteReference w:id="25"/>
      </w:r>
      <w:r>
        <w:t xml:space="preserve">.</w:t>
      </w:r>
    </w:p>
    <w:p>
      <w:pPr>
        <w:pStyle w:val="SourceCode"/>
      </w:pPr>
      <w:r>
        <w:rPr>
          <w:rStyle w:val="VerbatimChar"/>
        </w:rPr>
        <w:t xml:space="preserve">         alpha    rhoC     AVE    rhoA</w:t>
      </w:r>
      <w:r>
        <w:br/>
      </w:r>
      <w:r>
        <w:rPr>
          <w:rStyle w:val="VerbatimChar"/>
        </w:rPr>
        <w:t xml:space="preserve">VCC    "0.829" "0.864" "0.523" "0.881"</w:t>
      </w:r>
      <w:r>
        <w:br/>
      </w:r>
      <w:r>
        <w:rPr>
          <w:rStyle w:val="VerbatimChar"/>
        </w:rPr>
        <w:t xml:space="preserve">RQ     "0.795" "0.879" "0.708" "0.803"</w:t>
      </w:r>
      <w:r>
        <w:br/>
      </w:r>
      <w:r>
        <w:rPr>
          <w:rStyle w:val="VerbatimChar"/>
        </w:rPr>
        <w:t xml:space="preserve">ECOSAT "0.789" "0.880" "0.714" "0.830"</w:t>
      </w:r>
      <w:r>
        <w:br/>
      </w:r>
      <w:r>
        <w:br/>
      </w:r>
      <w:r>
        <w:rPr>
          <w:rStyle w:val="VerbatimChar"/>
        </w:rPr>
        <w:t xml:space="preserve">Alpha, rhoC, and rhoA should exceed 0.7 while AVE should exceed 0.5</w:t>
      </w:r>
    </w:p>
    <w:bookmarkEnd w:id="28"/>
    <w:bookmarkStart w:id="33" w:name="validez-convergente"/>
    <w:p>
      <w:pPr>
        <w:pStyle w:val="Heading2"/>
      </w:pPr>
      <w:r>
        <w:t xml:space="preserve">Validez convergente</w:t>
      </w:r>
    </w:p>
    <w:bookmarkStart w:id="30" w:name="ave"/>
    <w:p>
      <w:pPr>
        <w:pStyle w:val="Heading3"/>
      </w:pPr>
      <w:r>
        <w:t xml:space="preserve">AVE</w:t>
      </w:r>
    </w:p>
    <w:p>
      <w:pPr>
        <w:pStyle w:val="FirstParagraph"/>
      </w:pPr>
      <w:r>
        <w:t xml:space="preserve">Del mismo modo, para evaluar la</w:t>
      </w:r>
      <w:r>
        <w:t xml:space="preserve"> </w:t>
      </w:r>
      <w:r>
        <w:rPr>
          <w:i/>
        </w:rPr>
        <w:t xml:space="preserve">validez convergente</w:t>
      </w:r>
      <w:r>
        <w:t xml:space="preserve"> </w:t>
      </w:r>
      <w:r>
        <w:t xml:space="preserve">o grado con el que una medida correlaciona positivamente con medidas alternativas del mismo constructo, usamos el coeficiente</w:t>
      </w:r>
      <w:r>
        <w:t xml:space="preserve"> </w:t>
      </w:r>
      <w:r>
        <w:rPr>
          <w:i/>
        </w:rPr>
        <w:t xml:space="preserve">AVE (average variance extracted)</w:t>
      </w:r>
      <w:r>
        <w:t xml:space="preserve"> </w:t>
      </w:r>
      <w:r>
        <w:t xml:space="preserve">que también cumple con la expectativa de estar por encima de 0.5.</w:t>
      </w:r>
    </w:p>
    <w:p>
      <w:pPr>
        <w:pStyle w:val="SourceCode"/>
      </w:pPr>
      <w:r>
        <w:rPr>
          <w:rStyle w:val="VerbatimChar"/>
        </w:rPr>
        <w:t xml:space="preserve">         alpha    rhoC     AVE    rhoA</w:t>
      </w:r>
      <w:r>
        <w:br/>
      </w:r>
      <w:r>
        <w:rPr>
          <w:rStyle w:val="VerbatimChar"/>
        </w:rPr>
        <w:t xml:space="preserve">VCC    "0.829" "0.864" "0.523" "0.881"</w:t>
      </w:r>
      <w:r>
        <w:br/>
      </w:r>
      <w:r>
        <w:rPr>
          <w:rStyle w:val="VerbatimChar"/>
        </w:rPr>
        <w:t xml:space="preserve">RQ     "0.795" "0.879" "0.708" "0.803"</w:t>
      </w:r>
      <w:r>
        <w:br/>
      </w:r>
      <w:r>
        <w:rPr>
          <w:rStyle w:val="VerbatimChar"/>
        </w:rPr>
        <w:t xml:space="preserve">ECOSAT "0.789" "0.880" "0.714" "0.830"</w:t>
      </w:r>
      <w:r>
        <w:br/>
      </w:r>
      <w:r>
        <w:br/>
      </w:r>
      <w:r>
        <w:rPr>
          <w:rStyle w:val="VerbatimChar"/>
        </w:rPr>
        <w:t xml:space="preserve">Alpha, rhoC, and rhoA should exceed 0.7 while AVE should exceed 0.5</w:t>
      </w:r>
    </w:p>
    <w:p>
      <w:pPr>
        <w:pStyle w:val="FirstParagraph"/>
      </w:pPr>
      <w:r>
        <w:t xml:space="preserve">Los indicadores son mostrados de forma conjunta en el siguiente gráfico.</w:t>
      </w:r>
    </w:p>
    <w:p>
      <w:pPr>
        <w:pStyle w:val="CaptionedFigure"/>
      </w:pPr>
      <w:r>
        <w:drawing>
          <wp:inline>
            <wp:extent cx="5334000" cy="3000375"/>
            <wp:effectExtent b="0" l="0" r="0" t="0"/>
            <wp:docPr descr="Tabla de fiabilidad" title="" id="1" name="Picture"/>
            <a:graphic>
              <a:graphicData uri="http://schemas.openxmlformats.org/drawingml/2006/picture">
                <pic:pic>
                  <pic:nvPicPr>
                    <pic:cNvPr descr="art2.v01_files/figure-docx/unnamed-chunk-7-1.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Tabla de fiabilidad</w:t>
      </w:r>
    </w:p>
    <w:bookmarkEnd w:id="30"/>
    <w:bookmarkStart w:id="32" w:name="análisis-de-las-cargas"/>
    <w:p>
      <w:pPr>
        <w:pStyle w:val="Heading3"/>
      </w:pPr>
      <w:r>
        <w:t xml:space="preserve">Análisis de las cargas</w:t>
      </w:r>
    </w:p>
    <w:p>
      <w:pPr>
        <w:pStyle w:val="FirstParagraph"/>
      </w:pPr>
      <w:r>
        <w:t xml:space="preserve">Por otro lado, es importante analizar también las cargas o</w:t>
      </w:r>
      <w:r>
        <w:t xml:space="preserve"> </w:t>
      </w:r>
      <w:r>
        <w:rPr>
          <w:i/>
        </w:rPr>
        <w:t xml:space="preserve">loadings</w:t>
      </w:r>
      <w:r>
        <w:t xml:space="preserve">, indicadores de la fiabilidad del indicador en el constructo, y que deberían ser mayores de 0.7 para retener el indicador; para aquellas que están entre 0.4 y 0.7 debe ser analizado el comportamiento del constructo ante una eliminación del indicador con carga baja</w:t>
      </w:r>
      <w:r>
        <w:rPr>
          <w:rStyle w:val="FootnoteReference"/>
        </w:rPr>
        <w:footnoteReference w:id="31"/>
      </w:r>
      <w:r>
        <w:t xml:space="preserve">.</w:t>
      </w:r>
    </w:p>
    <w:p>
      <w:pPr>
        <w:pStyle w:val="SourceCode"/>
      </w:pPr>
      <w:r>
        <w:rPr>
          <w:rStyle w:val="VerbatimChar"/>
        </w:rPr>
        <w:t xml:space="preserve">              VCC    RQ ECOSAT TRUST COMMITMENT SOCSAT</w:t>
      </w:r>
      <w:r>
        <w:br/>
      </w:r>
      <w:r>
        <w:rPr>
          <w:rStyle w:val="VerbatimChar"/>
        </w:rPr>
        <w:t xml:space="preserve">VCC1        0.794 0.000  0.000 0.000      0.000  0.000</w:t>
      </w:r>
      <w:r>
        <w:br/>
      </w:r>
      <w:r>
        <w:rPr>
          <w:rStyle w:val="VerbatimChar"/>
        </w:rPr>
        <w:t xml:space="preserve">VCC2        0.831 0.000  0.000 0.000      0.000  0.000</w:t>
      </w:r>
      <w:r>
        <w:br/>
      </w:r>
      <w:r>
        <w:rPr>
          <w:rStyle w:val="VerbatimChar"/>
        </w:rPr>
        <w:t xml:space="preserve">VCC3        0.635 0.000  0.000 0.000      0.000  0.000</w:t>
      </w:r>
      <w:r>
        <w:br/>
      </w:r>
      <w:r>
        <w:rPr>
          <w:rStyle w:val="VerbatimChar"/>
        </w:rPr>
        <w:t xml:space="preserve">VCC4        0.865 0.000  0.000 0.000      0.000  0.000</w:t>
      </w:r>
      <w:r>
        <w:br/>
      </w:r>
      <w:r>
        <w:rPr>
          <w:rStyle w:val="VerbatimChar"/>
        </w:rPr>
        <w:t xml:space="preserve">VCC5        0.674 0.000  0.000 0.000      0.000  0.000</w:t>
      </w:r>
      <w:r>
        <w:br/>
      </w:r>
      <w:r>
        <w:rPr>
          <w:rStyle w:val="VerbatimChar"/>
        </w:rPr>
        <w:t xml:space="preserve">VCC6        0.462 0.000 -0.000 0.000      0.000  0.000</w:t>
      </w:r>
      <w:r>
        <w:br/>
      </w:r>
      <w:r>
        <w:rPr>
          <w:rStyle w:val="VerbatimChar"/>
        </w:rPr>
        <w:t xml:space="preserve">TRUST       0.000 0.820  0.000 0.000      0.000  0.000</w:t>
      </w:r>
      <w:r>
        <w:br/>
      </w:r>
      <w:r>
        <w:rPr>
          <w:rStyle w:val="VerbatimChar"/>
        </w:rPr>
        <w:t xml:space="preserve">COMMITMENT  0.000 0.855  0.000 0.000      0.000  0.000</w:t>
      </w:r>
      <w:r>
        <w:br/>
      </w:r>
      <w:r>
        <w:rPr>
          <w:rStyle w:val="VerbatimChar"/>
        </w:rPr>
        <w:t xml:space="preserve">SOCSAT      0.000 0.848  0.000 0.000      0.000  0.000</w:t>
      </w:r>
      <w:r>
        <w:br/>
      </w:r>
      <w:r>
        <w:rPr>
          <w:rStyle w:val="VerbatimChar"/>
        </w:rPr>
        <w:t xml:space="preserve">ECOSAT1     0.000 0.000  0.934 0.000      0.000  0.000</w:t>
      </w:r>
      <w:r>
        <w:br/>
      </w:r>
      <w:r>
        <w:rPr>
          <w:rStyle w:val="VerbatimChar"/>
        </w:rPr>
        <w:t xml:space="preserve">ECOSAT2     0.000 0.000  0.916 0.000      0.000  0.000</w:t>
      </w:r>
      <w:r>
        <w:br/>
      </w:r>
      <w:r>
        <w:rPr>
          <w:rStyle w:val="VerbatimChar"/>
        </w:rPr>
        <w:t xml:space="preserve">ECOSAT3     0.000 0.000  0.657 0.000      0.000  0.000</w:t>
      </w:r>
      <w:r>
        <w:br/>
      </w:r>
      <w:r>
        <w:rPr>
          <w:rStyle w:val="VerbatimChar"/>
        </w:rPr>
        <w:t xml:space="preserve">TRUST1      0.000 0.000  0.000 0.935      0.000  0.000</w:t>
      </w:r>
      <w:r>
        <w:br/>
      </w:r>
      <w:r>
        <w:rPr>
          <w:rStyle w:val="VerbatimChar"/>
        </w:rPr>
        <w:t xml:space="preserve">TRUST2      0.000 0.000  0.000 0.832      0.000  0.000</w:t>
      </w:r>
      <w:r>
        <w:br/>
      </w:r>
      <w:r>
        <w:rPr>
          <w:rStyle w:val="VerbatimChar"/>
        </w:rPr>
        <w:t xml:space="preserve">TRUST3      0.000 0.000  0.000 0.846      0.000  0.000</w:t>
      </w:r>
      <w:r>
        <w:br/>
      </w:r>
      <w:r>
        <w:rPr>
          <w:rStyle w:val="VerbatimChar"/>
        </w:rPr>
        <w:t xml:space="preserve">COMMITMENT1 0.000 0.000  0.000 0.000      0.885  0.000</w:t>
      </w:r>
      <w:r>
        <w:br/>
      </w:r>
      <w:r>
        <w:rPr>
          <w:rStyle w:val="VerbatimChar"/>
        </w:rPr>
        <w:t xml:space="preserve">COMMITMENT2 0.000 0.000  0.000 0.000      0.909  0.000</w:t>
      </w:r>
      <w:r>
        <w:br/>
      </w:r>
      <w:r>
        <w:rPr>
          <w:rStyle w:val="VerbatimChar"/>
        </w:rPr>
        <w:t xml:space="preserve">COMMITMENT3 0.000 0.000  0.000 0.000      0.816  0.000</w:t>
      </w:r>
      <w:r>
        <w:br/>
      </w:r>
      <w:r>
        <w:rPr>
          <w:rStyle w:val="VerbatimChar"/>
        </w:rPr>
        <w:t xml:space="preserve">COMMITMENT4 0.000 0.000  0.000 0.000      0.859  0.000</w:t>
      </w:r>
      <w:r>
        <w:br/>
      </w:r>
      <w:r>
        <w:rPr>
          <w:rStyle w:val="VerbatimChar"/>
        </w:rPr>
        <w:t xml:space="preserve">SOCSAT1     0.000 0.000  0.000 0.000      0.000  0.769</w:t>
      </w:r>
      <w:r>
        <w:br/>
      </w:r>
      <w:r>
        <w:rPr>
          <w:rStyle w:val="VerbatimChar"/>
        </w:rPr>
        <w:t xml:space="preserve">SOCSAT2     0.000 0.000  0.000 0.000      0.000  0.922</w:t>
      </w:r>
      <w:r>
        <w:br/>
      </w:r>
      <w:r>
        <w:rPr>
          <w:rStyle w:val="VerbatimChar"/>
        </w:rPr>
        <w:t xml:space="preserve">SOCSAT3     0.000 0.000  0.000 0.000      0.000  0.900</w:t>
      </w:r>
    </w:p>
    <w:bookmarkEnd w:id="32"/>
    <w:bookmarkEnd w:id="33"/>
    <w:bookmarkStart w:id="37" w:name="validez-discriminante"/>
    <w:p>
      <w:pPr>
        <w:pStyle w:val="Heading2"/>
      </w:pPr>
      <w:r>
        <w:t xml:space="preserve">Validez discriminante</w:t>
      </w:r>
    </w:p>
    <w:bookmarkStart w:id="34" w:name="cross-loadings"/>
    <w:p>
      <w:pPr>
        <w:pStyle w:val="Heading3"/>
      </w:pPr>
      <w:r>
        <w:t xml:space="preserve">Cross-loadings</w:t>
      </w:r>
    </w:p>
    <w:p>
      <w:pPr>
        <w:pStyle w:val="FirstParagraph"/>
      </w:pPr>
      <w:r>
        <w:t xml:space="preserve">Para el análisis de la validez discriminante o capacidad de un constructo de ser realmente distinto a otros, utilizamos las denominadas</w:t>
      </w:r>
      <w:r>
        <w:t xml:space="preserve"> </w:t>
      </w:r>
      <w:r>
        <w:rPr>
          <w:i/>
        </w:rPr>
        <w:t xml:space="preserve">cross-loadings</w:t>
      </w:r>
      <w:r>
        <w:t xml:space="preserve">, que miden esa capacidad del constructo. En la tabla adjunta se puede observar en cada indicador carga de forma superior en su variable latente, siendo el resto de cargas de menor intensidad.</w:t>
      </w:r>
    </w:p>
    <w:p>
      <w:pPr>
        <w:pStyle w:val="SourceCode"/>
      </w:pPr>
      <w:r>
        <w:rPr>
          <w:rStyle w:val="VerbatimChar"/>
        </w:rPr>
        <w:t xml:space="preserve">             VCC    RQ ECOSAT</w:t>
      </w:r>
      <w:r>
        <w:br/>
      </w:r>
      <w:r>
        <w:rPr>
          <w:rStyle w:val="VerbatimChar"/>
        </w:rPr>
        <w:t xml:space="preserve">VCC1       0.794 0.564  0.616</w:t>
      </w:r>
      <w:r>
        <w:br/>
      </w:r>
      <w:r>
        <w:rPr>
          <w:rStyle w:val="VerbatimChar"/>
        </w:rPr>
        <w:t xml:space="preserve">VCC2       0.831 0.496  0.548</w:t>
      </w:r>
      <w:r>
        <w:br/>
      </w:r>
      <w:r>
        <w:rPr>
          <w:rStyle w:val="VerbatimChar"/>
        </w:rPr>
        <w:t xml:space="preserve">VCC3       0.635 0.246  0.085</w:t>
      </w:r>
      <w:r>
        <w:br/>
      </w:r>
      <w:r>
        <w:rPr>
          <w:rStyle w:val="VerbatimChar"/>
        </w:rPr>
        <w:t xml:space="preserve">VCC4       0.865 0.529  0.436</w:t>
      </w:r>
      <w:r>
        <w:br/>
      </w:r>
      <w:r>
        <w:rPr>
          <w:rStyle w:val="VerbatimChar"/>
        </w:rPr>
        <w:t xml:space="preserve">VCC5       0.674 0.255  0.090</w:t>
      </w:r>
      <w:r>
        <w:br/>
      </w:r>
      <w:r>
        <w:rPr>
          <w:rStyle w:val="VerbatimChar"/>
        </w:rPr>
        <w:t xml:space="preserve">VCC6       0.462 0.203 -0.057</w:t>
      </w:r>
      <w:r>
        <w:br/>
      </w:r>
      <w:r>
        <w:rPr>
          <w:rStyle w:val="VerbatimChar"/>
        </w:rPr>
        <w:t xml:space="preserve">TRUST      0.385 0.820  0.526</w:t>
      </w:r>
      <w:r>
        <w:br/>
      </w:r>
      <w:r>
        <w:rPr>
          <w:rStyle w:val="VerbatimChar"/>
        </w:rPr>
        <w:t xml:space="preserve">COMMITMENT 0.584 0.855  0.504</w:t>
      </w:r>
      <w:r>
        <w:br/>
      </w:r>
      <w:r>
        <w:rPr>
          <w:rStyle w:val="VerbatimChar"/>
        </w:rPr>
        <w:t xml:space="preserve">SOCSAT     0.485 0.848  0.671</w:t>
      </w:r>
      <w:r>
        <w:br/>
      </w:r>
      <w:r>
        <w:rPr>
          <w:rStyle w:val="VerbatimChar"/>
        </w:rPr>
        <w:t xml:space="preserve">ECOSAT1    0.422 0.617  0.934</w:t>
      </w:r>
      <w:r>
        <w:br/>
      </w:r>
      <w:r>
        <w:rPr>
          <w:rStyle w:val="VerbatimChar"/>
        </w:rPr>
        <w:t xml:space="preserve">ECOSAT2    0.432 0.635  0.916</w:t>
      </w:r>
      <w:r>
        <w:br/>
      </w:r>
      <w:r>
        <w:rPr>
          <w:rStyle w:val="VerbatimChar"/>
        </w:rPr>
        <w:t xml:space="preserve">ECOSAT3    0.451 0.452  0.657</w:t>
      </w:r>
    </w:p>
    <w:bookmarkEnd w:id="34"/>
    <w:bookmarkStart w:id="35" w:name="fornell-larcker"/>
    <w:p>
      <w:pPr>
        <w:pStyle w:val="Heading3"/>
      </w:pPr>
      <w:r>
        <w:t xml:space="preserve">Fornell-Larcker</w:t>
      </w:r>
    </w:p>
    <w:p>
      <w:pPr>
        <w:pStyle w:val="FirstParagraph"/>
      </w:pPr>
      <w:r>
        <w:t xml:space="preserve">El criterio de</w:t>
      </w:r>
      <w:r>
        <w:t xml:space="preserve"> </w:t>
      </w:r>
      <w:r>
        <w:rPr>
          <w:i/>
        </w:rPr>
        <w:t xml:space="preserve">Fornell-Larcker</w:t>
      </w:r>
      <w:r>
        <w:t xml:space="preserve">, compara la raíz cuadrado del</w:t>
      </w:r>
      <w:r>
        <w:t xml:space="preserve"> </w:t>
      </w:r>
      <w:r>
        <w:rPr>
          <w:i/>
        </w:rPr>
        <w:t xml:space="preserve">AVE</w:t>
      </w:r>
      <w:r>
        <w:t xml:space="preserve"> </w:t>
      </w:r>
      <w:r>
        <w:t xml:space="preserve">con la correlación de las variables latentes. La raíz cuadrada del AVE de cada constructo, debería ser más grande que la más alta correlación con cualquier otro constructo. Se puede observar en la tabla siguiente que el valor en la diagonal principal, es mayor que el resto de valores en la parte inferior de la matriz.</w:t>
      </w:r>
    </w:p>
    <w:p>
      <w:pPr>
        <w:pStyle w:val="SourceCode"/>
      </w:pPr>
      <w:r>
        <w:rPr>
          <w:rStyle w:val="VerbatimChar"/>
        </w:rPr>
        <w:t xml:space="preserve">         VCC    RQ ECOSAT</w:t>
      </w:r>
      <w:r>
        <w:br/>
      </w:r>
      <w:r>
        <w:rPr>
          <w:rStyle w:val="VerbatimChar"/>
        </w:rPr>
        <w:t xml:space="preserve">VCC    0.723     .      .</w:t>
      </w:r>
      <w:r>
        <w:br/>
      </w:r>
      <w:r>
        <w:rPr>
          <w:rStyle w:val="VerbatimChar"/>
        </w:rPr>
        <w:t xml:space="preserve">RQ     0.581 0.841      .</w:t>
      </w:r>
      <w:r>
        <w:br/>
      </w:r>
      <w:r>
        <w:rPr>
          <w:rStyle w:val="VerbatimChar"/>
        </w:rPr>
        <w:t xml:space="preserve">ECOSAT 0.507 0.679  0.845</w:t>
      </w:r>
      <w:r>
        <w:br/>
      </w:r>
      <w:r>
        <w:br/>
      </w:r>
      <w:r>
        <w:rPr>
          <w:rStyle w:val="VerbatimChar"/>
        </w:rPr>
        <w:t xml:space="preserve">FL Criteria table reports square root of AVE on the diagonal and construct correlations on the lower triangle.</w:t>
      </w:r>
    </w:p>
    <w:bookmarkEnd w:id="35"/>
    <w:bookmarkStart w:id="36" w:name="htmt"/>
    <w:p>
      <w:pPr>
        <w:pStyle w:val="Heading3"/>
      </w:pPr>
      <w:r>
        <w:t xml:space="preserve">HTMT</w:t>
      </w:r>
    </w:p>
    <w:p>
      <w:pPr>
        <w:pStyle w:val="FirstParagraph"/>
      </w:pPr>
      <w:r>
        <w:t xml:space="preserve">Por último el</w:t>
      </w:r>
      <w:r>
        <w:t xml:space="preserve"> </w:t>
      </w:r>
      <w:r>
        <w:rPr>
          <w:i/>
        </w:rPr>
        <w:t xml:space="preserve">HTMT</w:t>
      </w:r>
      <w:r>
        <w:t xml:space="preserve"> </w:t>
      </w:r>
      <w:r>
        <w:t xml:space="preserve">es un ratio que si es mayor que 0.90 indica una pérdida de validez discriminante.</w:t>
      </w:r>
    </w:p>
    <w:p>
      <w:pPr>
        <w:pStyle w:val="SourceCode"/>
      </w:pPr>
      <w:r>
        <w:rPr>
          <w:rStyle w:val="VerbatimChar"/>
        </w:rPr>
        <w:t xml:space="preserve">         VCC    RQ ECOSAT</w:t>
      </w:r>
      <w:r>
        <w:br/>
      </w:r>
      <w:r>
        <w:rPr>
          <w:rStyle w:val="VerbatimChar"/>
        </w:rPr>
        <w:t xml:space="preserve">VCC        .     .      .</w:t>
      </w:r>
      <w:r>
        <w:br/>
      </w:r>
      <w:r>
        <w:rPr>
          <w:rStyle w:val="VerbatimChar"/>
        </w:rPr>
        <w:t xml:space="preserve">RQ     0.632     .      .</w:t>
      </w:r>
      <w:r>
        <w:br/>
      </w:r>
      <w:r>
        <w:rPr>
          <w:rStyle w:val="VerbatimChar"/>
        </w:rPr>
        <w:t xml:space="preserve">ECOSAT 0.584 0.847      .</w:t>
      </w:r>
    </w:p>
    <w:bookmarkEnd w:id="36"/>
    <w:bookmarkEnd w:id="37"/>
    <w:bookmarkStart w:id="44" w:name="análisis-del-modelo-estructural"/>
    <w:p>
      <w:pPr>
        <w:pStyle w:val="Heading2"/>
      </w:pPr>
      <w:r>
        <w:t xml:space="preserve">Análisis del modelo estructural</w:t>
      </w:r>
    </w:p>
    <w:p>
      <w:pPr>
        <w:pStyle w:val="FirstParagraph"/>
      </w:pPr>
      <w:r>
        <w:t xml:space="preserve">Una vez analizados los constructos desde el punto de vista de su composición, debemos analizar el modelo estructural en su conjunto. Partiendo de que el objetivo del PLS es la maximización de la varianza explicada, las medidas más importantes son la fiabilidad, la validez convergente y la validez discriminante del conjunto del modelo.</w:t>
      </w:r>
    </w:p>
    <w:p>
      <w:pPr>
        <w:numPr>
          <w:ilvl w:val="0"/>
          <w:numId w:val="1001"/>
        </w:numPr>
        <w:pStyle w:val="Compact"/>
      </w:pPr>
      <w:r>
        <w:t xml:space="preserve">R</w:t>
      </w:r>
      <w:r>
        <w:t xml:space="preserve">2</w:t>
      </w:r>
      <w:r>
        <w:t xml:space="preserve">, coeficiente de determinación y/o % de varianza explicada</w:t>
      </w:r>
    </w:p>
    <w:p>
      <w:pPr>
        <w:numPr>
          <w:ilvl w:val="0"/>
          <w:numId w:val="1001"/>
        </w:numPr>
        <w:pStyle w:val="Compact"/>
      </w:pPr>
      <w:r>
        <w:t xml:space="preserve">f</w:t>
      </w:r>
      <w:r>
        <w:t xml:space="preserve">2</w:t>
      </w:r>
      <w:r>
        <w:t xml:space="preserve"> </w:t>
      </w:r>
      <w:r>
        <w:t xml:space="preserve">y q</w:t>
      </w:r>
      <w:r>
        <w:t xml:space="preserve">2</w:t>
      </w:r>
      <w:r>
        <w:t xml:space="preserve"> </w:t>
      </w:r>
      <w:r>
        <w:t xml:space="preserve">efecto tamaño</w:t>
      </w:r>
    </w:p>
    <w:p>
      <w:pPr>
        <w:numPr>
          <w:ilvl w:val="0"/>
          <w:numId w:val="1001"/>
        </w:numPr>
        <w:pStyle w:val="Compact"/>
      </w:pPr>
      <w:r>
        <w:t xml:space="preserve">Q</w:t>
      </w:r>
      <w:r>
        <w:t xml:space="preserve">2</w:t>
      </w:r>
      <w:r>
        <w:t xml:space="preserve">, relevancia predictiva</w:t>
      </w:r>
    </w:p>
    <w:bookmarkStart w:id="38" w:name="paths"/>
    <w:p>
      <w:pPr>
        <w:pStyle w:val="Heading3"/>
      </w:pPr>
      <w:r>
        <w:t xml:space="preserve">Paths</w:t>
      </w:r>
    </w:p>
    <w:p>
      <w:pPr>
        <w:pStyle w:val="SourceCode"/>
      </w:pPr>
      <w:r>
        <w:rPr>
          <w:rStyle w:val="VerbatimChar"/>
        </w:rPr>
        <w:t xml:space="preserve">          RQ ECOSAT</w:t>
      </w:r>
      <w:r>
        <w:br/>
      </w:r>
      <w:r>
        <w:rPr>
          <w:rStyle w:val="VerbatimChar"/>
        </w:rPr>
        <w:t xml:space="preserve">R^2    0.338  0.461</w:t>
      </w:r>
      <w:r>
        <w:br/>
      </w:r>
      <w:r>
        <w:rPr>
          <w:rStyle w:val="VerbatimChar"/>
        </w:rPr>
        <w:t xml:space="preserve">AdjR^2 0.335  0.459</w:t>
      </w:r>
      <w:r>
        <w:br/>
      </w:r>
      <w:r>
        <w:rPr>
          <w:rStyle w:val="VerbatimChar"/>
        </w:rPr>
        <w:t xml:space="preserve">VCC    0.581      .</w:t>
      </w:r>
      <w:r>
        <w:br/>
      </w:r>
      <w:r>
        <w:rPr>
          <w:rStyle w:val="VerbatimChar"/>
        </w:rPr>
        <w:t xml:space="preserve">RQ         .  0.679</w:t>
      </w:r>
    </w:p>
    <w:bookmarkEnd w:id="38"/>
    <w:bookmarkStart w:id="39" w:name="r2"/>
    <w:p>
      <w:pPr>
        <w:pStyle w:val="Heading3"/>
      </w:pPr>
      <w:r>
        <w:t xml:space="preserve">R</w:t>
      </w:r>
      <w:r>
        <w:t xml:space="preserve">2</w:t>
      </w:r>
    </w:p>
    <w:p>
      <w:pPr>
        <w:pStyle w:val="FirstParagraph"/>
      </w:pPr>
      <w:r>
        <w:t xml:space="preserve">Buscar</w:t>
      </w:r>
      <w:r>
        <w:t xml:space="preserve"> </w:t>
      </w:r>
      <w:r>
        <w:rPr>
          <w:i/>
        </w:rPr>
        <w:t xml:space="preserve">R</w:t>
      </w:r>
      <w:r>
        <w:rPr>
          <w:i/>
        </w:rPr>
        <w:t xml:space="preserve">2</w:t>
      </w:r>
      <w:r>
        <w:t xml:space="preserve"> </w:t>
      </w:r>
      <w:r>
        <w:t xml:space="preserve">mayores de 0.7, aunque valores alrededor de 0.25 sean aceptados según ámbitos; (sustancial mayor que 0.75, moderado alrededor de 0.5 y débil, 0.25). Usar R</w:t>
      </w:r>
      <w:r>
        <w:t xml:space="preserve">2</w:t>
      </w:r>
      <w:r>
        <w:t xml:space="preserve">adj</w:t>
      </w:r>
      <w:r>
        <w:t xml:space="preserve"> </w:t>
      </w:r>
      <w:r>
        <w:t xml:space="preserve">para comparar modelos con diferente número de constructos y/u observaciones.</w:t>
      </w:r>
    </w:p>
    <w:p>
      <w:pPr>
        <w:pStyle w:val="SourceCode"/>
      </w:pPr>
      <w:r>
        <w:rPr>
          <w:rStyle w:val="VerbatimChar"/>
        </w:rPr>
        <w:t xml:space="preserve">              RQ    ECOSAT</w:t>
      </w:r>
      <w:r>
        <w:br/>
      </w:r>
      <w:r>
        <w:rPr>
          <w:rStyle w:val="VerbatimChar"/>
        </w:rPr>
        <w:t xml:space="preserve">Rsq    0.3377728 0.4611090</w:t>
      </w:r>
      <w:r>
        <w:br/>
      </w:r>
      <w:r>
        <w:rPr>
          <w:rStyle w:val="VerbatimChar"/>
        </w:rPr>
        <w:t xml:space="preserve">AdjRsq 0.3351657 0.4589873</w:t>
      </w:r>
    </w:p>
    <w:bookmarkEnd w:id="39"/>
    <w:bookmarkStart w:id="40" w:name="f2---effect-sizes"/>
    <w:p>
      <w:pPr>
        <w:pStyle w:val="Heading3"/>
      </w:pPr>
      <w:r>
        <w:t xml:space="preserve">f</w:t>
      </w:r>
      <w:r>
        <w:t xml:space="preserve">2</w:t>
      </w:r>
      <w:r>
        <w:t xml:space="preserve"> </w:t>
      </w:r>
      <w:r>
        <w:t xml:space="preserve">- effect sizes</w:t>
      </w:r>
    </w:p>
    <w:p>
      <w:pPr>
        <w:pStyle w:val="FirstParagraph"/>
      </w:pPr>
      <w:r>
        <w:t xml:space="preserve">El</w:t>
      </w:r>
      <w:r>
        <w:t xml:space="preserve"> </w:t>
      </w:r>
      <w:r>
        <w:rPr>
          <w:i/>
        </w:rPr>
        <w:t xml:space="preserve">f</w:t>
      </w:r>
      <w:r>
        <w:rPr>
          <w:i/>
        </w:rPr>
        <w:t xml:space="preserve">2</w:t>
      </w:r>
      <w:r>
        <w:t xml:space="preserve"> </w:t>
      </w:r>
      <w:r>
        <w:t xml:space="preserve">permite evaluar la contribución de cada constructo exógeno a la R</w:t>
      </w:r>
      <w:r>
        <w:t xml:space="preserve">2</w:t>
      </w:r>
      <w:r>
        <w:t xml:space="preserve"> </w:t>
      </w:r>
      <w:r>
        <w:t xml:space="preserve">de un constructo endógeno. Los valores de 0.02, 0.15 y 0.35 indican un efecto pequeño, mediano o grande sobre el constructo endógeno.</w:t>
      </w:r>
    </w:p>
    <w:p>
      <w:pPr>
        <w:pStyle w:val="SourceCode"/>
      </w:pPr>
      <w:r>
        <w:rPr>
          <w:rStyle w:val="VerbatimChar"/>
        </w:rPr>
        <w:t xml:space="preserve">         VCC    RQ ECOSAT</w:t>
      </w:r>
      <w:r>
        <w:br/>
      </w:r>
      <w:r>
        <w:rPr>
          <w:rStyle w:val="VerbatimChar"/>
        </w:rPr>
        <w:t xml:space="preserve">VCC    0.000 0.510  0.000</w:t>
      </w:r>
      <w:r>
        <w:br/>
      </w:r>
      <w:r>
        <w:rPr>
          <w:rStyle w:val="VerbatimChar"/>
        </w:rPr>
        <w:t xml:space="preserve">RQ     0.000 0.000  0.856</w:t>
      </w:r>
      <w:r>
        <w:br/>
      </w:r>
      <w:r>
        <w:rPr>
          <w:rStyle w:val="VerbatimChar"/>
        </w:rPr>
        <w:t xml:space="preserve">ECOSAT 0.000 0.000  0.000</w:t>
      </w:r>
    </w:p>
    <w:bookmarkEnd w:id="40"/>
    <w:bookmarkStart w:id="43" w:name="efectos"/>
    <w:p>
      <w:pPr>
        <w:pStyle w:val="Heading3"/>
      </w:pPr>
      <w:r>
        <w:t xml:space="preserve">Efectos</w:t>
      </w:r>
    </w:p>
    <w:bookmarkStart w:id="41" w:name="totales"/>
    <w:p>
      <w:pPr>
        <w:pStyle w:val="Heading4"/>
      </w:pPr>
      <w:r>
        <w:t xml:space="preserve">Totales</w:t>
      </w:r>
    </w:p>
    <w:p>
      <w:pPr>
        <w:pStyle w:val="SourceCode"/>
      </w:pPr>
      <w:r>
        <w:rPr>
          <w:rStyle w:val="VerbatimChar"/>
        </w:rPr>
        <w:t xml:space="preserve">         VCC    RQ ECOSAT</w:t>
      </w:r>
      <w:r>
        <w:br/>
      </w:r>
      <w:r>
        <w:rPr>
          <w:rStyle w:val="VerbatimChar"/>
        </w:rPr>
        <w:t xml:space="preserve">VCC    0.000 0.581  0.395</w:t>
      </w:r>
      <w:r>
        <w:br/>
      </w:r>
      <w:r>
        <w:rPr>
          <w:rStyle w:val="VerbatimChar"/>
        </w:rPr>
        <w:t xml:space="preserve">RQ     0.000 0.000  0.679</w:t>
      </w:r>
      <w:r>
        <w:br/>
      </w:r>
      <w:r>
        <w:rPr>
          <w:rStyle w:val="VerbatimChar"/>
        </w:rPr>
        <w:t xml:space="preserve">ECOSAT 0.000 0.000  0.000</w:t>
      </w:r>
    </w:p>
    <w:bookmarkEnd w:id="41"/>
    <w:bookmarkStart w:id="42" w:name="indirectos"/>
    <w:p>
      <w:pPr>
        <w:pStyle w:val="Heading4"/>
      </w:pPr>
      <w:r>
        <w:t xml:space="preserve">Indirectos</w:t>
      </w:r>
    </w:p>
    <w:p>
      <w:pPr>
        <w:pStyle w:val="SourceCode"/>
      </w:pPr>
      <w:r>
        <w:rPr>
          <w:rStyle w:val="VerbatimChar"/>
        </w:rPr>
        <w:t xml:space="preserve">         VCC    RQ ECOSAT</w:t>
      </w:r>
      <w:r>
        <w:br/>
      </w:r>
      <w:r>
        <w:rPr>
          <w:rStyle w:val="VerbatimChar"/>
        </w:rPr>
        <w:t xml:space="preserve">VCC    0.000 0.000  0.395</w:t>
      </w:r>
      <w:r>
        <w:br/>
      </w:r>
      <w:r>
        <w:rPr>
          <w:rStyle w:val="VerbatimChar"/>
        </w:rPr>
        <w:t xml:space="preserve">RQ     0.000 0.000  0.000</w:t>
      </w:r>
      <w:r>
        <w:br/>
      </w:r>
      <w:r>
        <w:rPr>
          <w:rStyle w:val="VerbatimChar"/>
        </w:rPr>
        <w:t xml:space="preserve">ECOSAT 0.000 0.000  0.000</w:t>
      </w:r>
    </w:p>
    <w:bookmarkEnd w:id="42"/>
    <w:bookmarkEnd w:id="43"/>
    <w:bookmarkEnd w:id="44"/>
    <w:bookmarkEnd w:id="45"/>
    <w:bookmarkStart w:id="52" w:name="modelización-con-bootstrapping"/>
    <w:p>
      <w:pPr>
        <w:pStyle w:val="Heading1"/>
      </w:pPr>
      <w:r>
        <w:t xml:space="preserve">Modelización con bootstrapping</w:t>
      </w:r>
    </w:p>
    <w:p>
      <w:pPr>
        <w:pStyle w:val="FirstParagraph"/>
      </w:pPr>
      <w:r>
        <w:rPr>
          <w:i/>
        </w:rPr>
        <w:t xml:space="preserve">Bootstrapping</w:t>
      </w:r>
      <w:r>
        <w:t xml:space="preserve"> </w:t>
      </w:r>
      <w:r>
        <w:t xml:space="preserve">para calcular la significatividad de los paths estimados. Habitualmente se trabaja con un 5% (t &gt; 1.96) lo que implica significatividad al 95%. Podemos cambiar al 10 o al 1 según ámbito. Usar doble bootstrapping si hay menos de 4 constructos.</w:t>
      </w:r>
    </w:p>
    <w:bookmarkStart w:id="46" w:name="structural-paths"/>
    <w:p>
      <w:pPr>
        <w:pStyle w:val="Heading2"/>
      </w:pPr>
      <w:r>
        <w:t xml:space="preserve">Structural paths</w:t>
      </w:r>
    </w:p>
    <w:p>
      <w:pPr>
        <w:pStyle w:val="SourceCode"/>
      </w:pPr>
      <w:r>
        <w:rPr>
          <w:rStyle w:val="VerbatimChar"/>
        </w:rPr>
        <w:t xml:space="preserve">               Original Est. Bootstrap Mean Bootstrap SD T Stat. 2.5% CI 97.5% CI</w:t>
      </w:r>
      <w:r>
        <w:br/>
      </w:r>
      <w:r>
        <w:rPr>
          <w:rStyle w:val="VerbatimChar"/>
        </w:rPr>
        <w:t xml:space="preserve">VCC  -&gt;  RQ            0.581          0.588        0.036  15.951   0.513    0.656</w:t>
      </w:r>
      <w:r>
        <w:br/>
      </w:r>
      <w:r>
        <w:rPr>
          <w:rStyle w:val="VerbatimChar"/>
        </w:rPr>
        <w:t xml:space="preserve">RQ  -&gt;  ECOSAT         0.679          0.682        0.043  15.671   0.594    0.758</w:t>
      </w:r>
    </w:p>
    <w:bookmarkEnd w:id="46"/>
    <w:bookmarkStart w:id="47" w:name="bootstrapped-loadings"/>
    <w:p>
      <w:pPr>
        <w:pStyle w:val="Heading2"/>
      </w:pPr>
      <w:r>
        <w:t xml:space="preserve">Bootstrapped loadings</w:t>
      </w:r>
    </w:p>
    <w:p>
      <w:pPr>
        <w:pStyle w:val="SourceCode"/>
      </w:pPr>
      <w:r>
        <w:rPr>
          <w:rStyle w:val="VerbatimChar"/>
        </w:rPr>
        <w:t xml:space="preserve">                            Original Est. Bootstrap Mean Bootstrap SD T Stat. 2.5% CI 97.5% CI</w:t>
      </w:r>
      <w:r>
        <w:br/>
      </w:r>
      <w:r>
        <w:rPr>
          <w:rStyle w:val="VerbatimChar"/>
        </w:rPr>
        <w:t xml:space="preserve">VCC1  -&gt;  VCC                       0.794          0.796        0.034  23.468   0.723    0.859</w:t>
      </w:r>
      <w:r>
        <w:br/>
      </w:r>
      <w:r>
        <w:rPr>
          <w:rStyle w:val="VerbatimChar"/>
        </w:rPr>
        <w:t xml:space="preserve">VCC2  -&gt;  VCC                       0.831          0.831        0.038  21.857   0.746    0.895</w:t>
      </w:r>
      <w:r>
        <w:br/>
      </w:r>
      <w:r>
        <w:rPr>
          <w:rStyle w:val="VerbatimChar"/>
        </w:rPr>
        <w:t xml:space="preserve">VCC3  -&gt;  VCC                       0.635          0.626        0.066   9.616   0.478    0.735</w:t>
      </w:r>
      <w:r>
        <w:br/>
      </w:r>
      <w:r>
        <w:rPr>
          <w:rStyle w:val="VerbatimChar"/>
        </w:rPr>
        <w:t xml:space="preserve">VCC4  -&gt;  VCC                       0.865          0.863        0.018  47.386   0.824    0.894</w:t>
      </w:r>
      <w:r>
        <w:br/>
      </w:r>
      <w:r>
        <w:rPr>
          <w:rStyle w:val="VerbatimChar"/>
        </w:rPr>
        <w:t xml:space="preserve">VCC5  -&gt;  VCC                       0.674          0.668        0.056  12.100   0.549    0.767</w:t>
      </w:r>
      <w:r>
        <w:br/>
      </w:r>
      <w:r>
        <w:rPr>
          <w:rStyle w:val="VerbatimChar"/>
        </w:rPr>
        <w:t xml:space="preserve">VCC6  -&gt;  VCC                       0.462          0.454        0.082   5.655   0.278    0.597</w:t>
      </w:r>
      <w:r>
        <w:br/>
      </w:r>
      <w:r>
        <w:rPr>
          <w:rStyle w:val="VerbatimChar"/>
        </w:rPr>
        <w:t xml:space="preserve">TRUST  -&gt;  RQ                       0.820          0.818        0.034  24.120   0.743    0.877</w:t>
      </w:r>
      <w:r>
        <w:br/>
      </w:r>
      <w:r>
        <w:rPr>
          <w:rStyle w:val="VerbatimChar"/>
        </w:rPr>
        <w:t xml:space="preserve">COMMITMENT  -&gt;  RQ                  0.855          0.854        0.023  36.720   0.803    0.895</w:t>
      </w:r>
      <w:r>
        <w:br/>
      </w:r>
      <w:r>
        <w:rPr>
          <w:rStyle w:val="VerbatimChar"/>
        </w:rPr>
        <w:t xml:space="preserve">SOCSAT  -&gt;  RQ                      0.848          0.848        0.021  40.773   0.803    0.884</w:t>
      </w:r>
      <w:r>
        <w:br/>
      </w:r>
      <w:r>
        <w:rPr>
          <w:rStyle w:val="VerbatimChar"/>
        </w:rPr>
        <w:t xml:space="preserve">ECOSAT1  -&gt;  ECOSAT                 0.934          0.934        0.011  81.978   0.910    0.955</w:t>
      </w:r>
      <w:r>
        <w:br/>
      </w:r>
      <w:r>
        <w:rPr>
          <w:rStyle w:val="VerbatimChar"/>
        </w:rPr>
        <w:t xml:space="preserve">ECOSAT2  -&gt;  ECOSAT                 0.916          0.917        0.017  52.887   0.877    0.944</w:t>
      </w:r>
      <w:r>
        <w:br/>
      </w:r>
      <w:r>
        <w:rPr>
          <w:rStyle w:val="VerbatimChar"/>
        </w:rPr>
        <w:t xml:space="preserve">ECOSAT3  -&gt;  ECOSAT                 0.657          0.652        0.058  11.385   0.524    0.748</w:t>
      </w:r>
      <w:r>
        <w:br/>
      </w:r>
      <w:r>
        <w:rPr>
          <w:rStyle w:val="VerbatimChar"/>
        </w:rPr>
        <w:t xml:space="preserve">TRUST1  -&gt;  TRUST                   0.935          0.935        0.012  79.724   0.908    0.954</w:t>
      </w:r>
      <w:r>
        <w:br/>
      </w:r>
      <w:r>
        <w:rPr>
          <w:rStyle w:val="VerbatimChar"/>
        </w:rPr>
        <w:t xml:space="preserve">TRUST2  -&gt;  TRUST                   0.832          0.834        0.023  35.512   0.785    0.877</w:t>
      </w:r>
      <w:r>
        <w:br/>
      </w:r>
      <w:r>
        <w:rPr>
          <w:rStyle w:val="VerbatimChar"/>
        </w:rPr>
        <w:t xml:space="preserve">TRUST3  -&gt;  TRUST                   0.846          0.842        0.033  26.021   0.767    0.895</w:t>
      </w:r>
      <w:r>
        <w:br/>
      </w:r>
      <w:r>
        <w:rPr>
          <w:rStyle w:val="VerbatimChar"/>
        </w:rPr>
        <w:t xml:space="preserve">COMMITMENT1  -&gt;  COMMITMENT         0.885          0.886        0.016  54.147   0.852    0.915</w:t>
      </w:r>
      <w:r>
        <w:br/>
      </w:r>
      <w:r>
        <w:rPr>
          <w:rStyle w:val="VerbatimChar"/>
        </w:rPr>
        <w:t xml:space="preserve">COMMITMENT2  -&gt;  COMMITMENT         0.909          0.909        0.013  69.988   0.882    0.933</w:t>
      </w:r>
      <w:r>
        <w:br/>
      </w:r>
      <w:r>
        <w:rPr>
          <w:rStyle w:val="VerbatimChar"/>
        </w:rPr>
        <w:t xml:space="preserve">COMMITMENT3  -&gt;  COMMITMENT         0.816          0.813        0.036  22.526   0.733    0.876</w:t>
      </w:r>
      <w:r>
        <w:br/>
      </w:r>
      <w:r>
        <w:rPr>
          <w:rStyle w:val="VerbatimChar"/>
        </w:rPr>
        <w:t xml:space="preserve">COMMITMENT4  -&gt;  COMMITMENT         0.859          0.857        0.028  30.189   0.794    0.905</w:t>
      </w:r>
      <w:r>
        <w:br/>
      </w:r>
      <w:r>
        <w:rPr>
          <w:rStyle w:val="VerbatimChar"/>
        </w:rPr>
        <w:t xml:space="preserve">SOCSAT1  -&gt;  SOCSAT                 0.769          0.765        0.035  22.015   0.690    0.827</w:t>
      </w:r>
      <w:r>
        <w:br/>
      </w:r>
      <w:r>
        <w:rPr>
          <w:rStyle w:val="VerbatimChar"/>
        </w:rPr>
        <w:t xml:space="preserve">SOCSAT2  -&gt;  SOCSAT                 0.922          0.922        0.011  86.234   0.900    0.942</w:t>
      </w:r>
      <w:r>
        <w:br/>
      </w:r>
      <w:r>
        <w:rPr>
          <w:rStyle w:val="VerbatimChar"/>
        </w:rPr>
        <w:t xml:space="preserve">SOCSAT3  -&gt;  SOCSAT                 0.900          0.899        0.016  57.878   0.865    0.926</w:t>
      </w:r>
    </w:p>
    <w:bookmarkEnd w:id="47"/>
    <w:bookmarkStart w:id="48" w:name="bootstrapped-htmt"/>
    <w:p>
      <w:pPr>
        <w:pStyle w:val="Heading2"/>
      </w:pPr>
      <w:r>
        <w:t xml:space="preserve">Bootstrapped HTMT</w:t>
      </w:r>
    </w:p>
    <w:p>
      <w:pPr>
        <w:pStyle w:val="SourceCode"/>
      </w:pPr>
      <w:r>
        <w:rPr>
          <w:rStyle w:val="VerbatimChar"/>
        </w:rPr>
        <w:t xml:space="preserve">                Original Est. Bootstrap Mean Bootstrap SD T Stat. 2.5% CI 97.5% CI</w:t>
      </w:r>
      <w:r>
        <w:br/>
      </w:r>
      <w:r>
        <w:rPr>
          <w:rStyle w:val="VerbatimChar"/>
        </w:rPr>
        <w:t xml:space="preserve">VCC  -&gt;  RQ             0.632          0.634        0.047  13.507   0.538    0.722</w:t>
      </w:r>
      <w:r>
        <w:br/>
      </w:r>
      <w:r>
        <w:rPr>
          <w:rStyle w:val="VerbatimChar"/>
        </w:rPr>
        <w:t xml:space="preserve">VCC  -&gt;  ECOSAT         0.584          0.599        0.044  13.382   0.516    0.687</w:t>
      </w:r>
      <w:r>
        <w:br/>
      </w:r>
      <w:r>
        <w:rPr>
          <w:rStyle w:val="VerbatimChar"/>
        </w:rPr>
        <w:t xml:space="preserve">RQ  -&gt;  ECOSAT          0.847          0.851        0.058  14.539   0.731    0.956</w:t>
      </w:r>
    </w:p>
    <w:bookmarkEnd w:id="48"/>
    <w:bookmarkStart w:id="49" w:name="total-effects-paths"/>
    <w:p>
      <w:pPr>
        <w:pStyle w:val="Heading2"/>
      </w:pPr>
      <w:r>
        <w:t xml:space="preserve">Total effects (paths)</w:t>
      </w:r>
    </w:p>
    <w:p>
      <w:pPr>
        <w:pStyle w:val="SourceCode"/>
      </w:pPr>
      <w:r>
        <w:rPr>
          <w:rStyle w:val="VerbatimChar"/>
        </w:rPr>
        <w:t xml:space="preserve">                Original Est. Bootstrap Mean Bootstrap SD T Stat. 2.5% CI 97.5% CI</w:t>
      </w:r>
      <w:r>
        <w:br/>
      </w:r>
      <w:r>
        <w:rPr>
          <w:rStyle w:val="VerbatimChar"/>
        </w:rPr>
        <w:t xml:space="preserve">VCC  -&gt;  RQ             0.581          0.588        0.036  15.951   0.513    0.656</w:t>
      </w:r>
      <w:r>
        <w:br/>
      </w:r>
      <w:r>
        <w:rPr>
          <w:rStyle w:val="VerbatimChar"/>
        </w:rPr>
        <w:t xml:space="preserve">VCC  -&gt;  ECOSAT         0.395          0.402        0.043   9.276   0.317    0.485</w:t>
      </w:r>
      <w:r>
        <w:br/>
      </w:r>
      <w:r>
        <w:rPr>
          <w:rStyle w:val="VerbatimChar"/>
        </w:rPr>
        <w:t xml:space="preserve">RQ  -&gt;  ECOSAT          0.679          0.682        0.043  15.671   0.594    0.758</w:t>
      </w:r>
    </w:p>
    <w:bookmarkEnd w:id="49"/>
    <w:bookmarkStart w:id="51" w:name="plot-model"/>
    <w:p>
      <w:pPr>
        <w:pStyle w:val="Heading2"/>
      </w:pPr>
      <w:r>
        <w:t xml:space="preserve">Plot model</w:t>
      </w:r>
    </w:p>
    <w:p>
      <w:pPr>
        <w:pStyle w:val="CaptionedFigure"/>
      </w:pPr>
      <w:r>
        <w:drawing>
          <wp:inline>
            <wp:extent cx="5334000" cy="3093720"/>
            <wp:effectExtent b="0" l="0" r="0" t="0"/>
            <wp:docPr descr="Modelo con bootstrapping" title="" id="1" name="Picture"/>
            <a:graphic>
              <a:graphicData uri="http://schemas.openxmlformats.org/drawingml/2006/picture">
                <pic:pic>
                  <pic:nvPicPr>
                    <pic:cNvPr descr="art2.v01_files/figure-docx/unnamed-chunk-22-1.png" id="0" name="Picture"/>
                    <pic:cNvPicPr>
                      <a:picLocks noChangeArrowheads="1" noChangeAspect="1"/>
                    </pic:cNvPicPr>
                  </pic:nvPicPr>
                  <pic:blipFill>
                    <a:blip r:embed="rId50"/>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Modelo con bootstrapping</w:t>
      </w:r>
    </w:p>
    <w:bookmarkEnd w:id="51"/>
    <w:bookmarkEnd w:id="52"/>
    <w:bookmarkStart w:id="53" w:name="predicción-seminr"/>
    <w:p>
      <w:pPr>
        <w:pStyle w:val="Heading1"/>
      </w:pPr>
      <w:r>
        <w:t xml:space="preserve">Predicción (seminr)</w:t>
      </w:r>
    </w:p>
    <w:bookmarkEnd w:id="53"/>
    <w:bookmarkStart w:id="54" w:name="potencia-pwr"/>
    <w:p>
      <w:pPr>
        <w:pStyle w:val="Heading1"/>
      </w:pPr>
      <w:r>
        <w:t xml:space="preserve">Potencia (pwr)</w:t>
      </w:r>
    </w:p>
    <w:p>
      <w:pPr>
        <w:pStyle w:val="FirstParagraph"/>
      </w:pPr>
      <w:r>
        <w:t xml:space="preserve">En nuestro ejemplo tenemos una muestra 256 empresas, y la regresión más complicada es la del constructo con 3 regresores por lo que v=256-3-1=252.</w:t>
      </w:r>
    </w:p>
    <w:p>
      <w:pPr>
        <w:pStyle w:val="SourceCode"/>
      </w:pPr>
      <w:r>
        <w:br/>
      </w:r>
      <w:r>
        <w:rPr>
          <w:rStyle w:val="VerbatimChar"/>
        </w:rPr>
        <w:t xml:space="preserve">     Multiple regression power calculation </w:t>
      </w:r>
      <w:r>
        <w:br/>
      </w:r>
      <w:r>
        <w:br/>
      </w:r>
      <w:r>
        <w:rPr>
          <w:rStyle w:val="VerbatimChar"/>
        </w:rPr>
        <w:t xml:space="preserve">              u = 3</w:t>
      </w:r>
      <w:r>
        <w:br/>
      </w:r>
      <w:r>
        <w:rPr>
          <w:rStyle w:val="VerbatimChar"/>
        </w:rPr>
        <w:t xml:space="preserve">              v = 252</w:t>
      </w:r>
      <w:r>
        <w:br/>
      </w:r>
      <w:r>
        <w:rPr>
          <w:rStyle w:val="VerbatimChar"/>
        </w:rPr>
        <w:t xml:space="preserve">             f2 = 0.15</w:t>
      </w:r>
      <w:r>
        <w:br/>
      </w:r>
      <w:r>
        <w:rPr>
          <w:rStyle w:val="VerbatimChar"/>
        </w:rPr>
        <w:t xml:space="preserve">      sig.level = 0.05</w:t>
      </w:r>
      <w:r>
        <w:br/>
      </w:r>
      <w:r>
        <w:rPr>
          <w:rStyle w:val="VerbatimChar"/>
        </w:rPr>
        <w:t xml:space="preserve">          power = 0.9998353</w:t>
      </w:r>
    </w:p>
    <w:p>
      <w:pPr>
        <w:pStyle w:val="SourceCode"/>
      </w:pPr>
      <w:r>
        <w:br/>
      </w:r>
      <w:r>
        <w:rPr>
          <w:rStyle w:val="VerbatimChar"/>
        </w:rPr>
        <w:t xml:space="preserve">     Multiple regression power calculation </w:t>
      </w:r>
      <w:r>
        <w:br/>
      </w:r>
      <w:r>
        <w:br/>
      </w:r>
      <w:r>
        <w:rPr>
          <w:rStyle w:val="VerbatimChar"/>
        </w:rPr>
        <w:t xml:space="preserve">              u = 3</w:t>
      </w:r>
      <w:r>
        <w:br/>
      </w:r>
      <w:r>
        <w:rPr>
          <w:rStyle w:val="VerbatimChar"/>
        </w:rPr>
        <w:t xml:space="preserve">              v = 72.70583</w:t>
      </w:r>
      <w:r>
        <w:br/>
      </w:r>
      <w:r>
        <w:rPr>
          <w:rStyle w:val="VerbatimChar"/>
        </w:rPr>
        <w:t xml:space="preserve">             f2 = 0.15</w:t>
      </w:r>
      <w:r>
        <w:br/>
      </w:r>
      <w:r>
        <w:rPr>
          <w:rStyle w:val="VerbatimChar"/>
        </w:rPr>
        <w:t xml:space="preserve">      sig.level = 0.05</w:t>
      </w:r>
      <w:r>
        <w:br/>
      </w:r>
      <w:r>
        <w:rPr>
          <w:rStyle w:val="VerbatimChar"/>
        </w:rPr>
        <w:t xml:space="preserve">          power = 0.8</w:t>
      </w:r>
    </w:p>
    <w:p>
      <w:pPr>
        <w:pStyle w:val="FirstParagraph"/>
      </w:pPr>
      <w:r>
        <w:t xml:space="preserve">El resultado indica que nuestro tamaño muestra posee una potencia igual av laor del resultado de</w:t>
      </w:r>
      <w:r>
        <w:t xml:space="preserve"> </w:t>
      </w:r>
      <w:r>
        <w:rPr>
          <w:i/>
        </w:rPr>
        <w:t xml:space="preserve">power</w:t>
      </w:r>
      <w:r>
        <w:t xml:space="preserve">, ya que el tamaño muestral máximo para una potencia del 80% sería del valor del resultado del valor de</w:t>
      </w:r>
      <w:r>
        <w:t xml:space="preserve"> </w:t>
      </w:r>
      <w:r>
        <w:rPr>
          <w:i/>
        </w:rPr>
        <w:t xml:space="preserve">v</w:t>
      </w:r>
      <w:r>
        <w:t xml:space="preserve"> </w:t>
      </w:r>
      <w:r>
        <w:t xml:space="preserve">elementos con los parámetros indicados.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En</w:t>
      </w:r>
      <w:r>
        <w:t xml:space="preserve"> </w:t>
      </w:r>
      <w:hyperlink r:id="rId26">
        <w:r>
          <w:rPr>
            <w:rStyle w:val="Hyperlink"/>
          </w:rPr>
          <w:t xml:space="preserve">https://forum.smartpls.com/viewtopic.php?f=5&amp;t=3805</w:t>
        </w:r>
      </w:hyperlink>
      <w:r>
        <w:t xml:space="preserve"> </w:t>
      </w:r>
      <w:r>
        <w:t xml:space="preserve">hay una</w:t>
      </w:r>
      <w:r>
        <w:t xml:space="preserve"> </w:t>
      </w:r>
      <w:r>
        <w:t xml:space="preserve">“</w:t>
      </w:r>
      <w:r>
        <w:t xml:space="preserve">discusión en torno al</w:t>
      </w:r>
      <w:r>
        <w:t xml:space="preserve">”</w:t>
      </w:r>
      <w:r>
        <w:t xml:space="preserve">greater than 0.9" de Primer PLS … de Hair; lo solventa un investigador / desarrollador de SmartPLS:</w:t>
      </w:r>
      <w:r>
        <w:t xml:space="preserve"> </w:t>
      </w:r>
      <w:hyperlink r:id="rId27">
        <w:r>
          <w:rPr>
            <w:rStyle w:val="Hyperlink"/>
          </w:rPr>
          <w:t xml:space="preserve">https://www.researchgate.net/profile/Jan_Michael_Becker</w:t>
        </w:r>
      </w:hyperlink>
    </w:p>
  </w:footnote>
  <w:footnote w:id="31">
    <w:p>
      <w:pPr>
        <w:pStyle w:val="FootnoteText"/>
      </w:pPr>
      <w:r>
        <w:rPr>
          <w:rStyle w:val="FootnoteReference"/>
        </w:rPr>
        <w:footnoteRef/>
      </w:r>
      <w:r>
        <w:t xml:space="preserve"> </w:t>
      </w:r>
      <w:r>
        <w:t xml:space="preserve">En nuestro caso al proceder con la eliminación de aquellas cargas menores de 0.7 no mejoraba significativamente el modelo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6" Target="https://forum.smartpls.com/viewtopic.php?f=5&amp;t=3805" TargetMode="External" /><Relationship Type="http://schemas.openxmlformats.org/officeDocument/2006/relationships/hyperlink" Id="rId27" Target="https://www.researchgate.net/profile/Jan_Michael_Becker" TargetMode="External" /></Relationships>
</file>

<file path=word/_rels/footnotes.xml.rels><?xml version="1.0" encoding="UTF-8"?>
<Relationships xmlns="http://schemas.openxmlformats.org/package/2006/relationships"><Relationship Type="http://schemas.openxmlformats.org/officeDocument/2006/relationships/hyperlink" Id="rId26" Target="https://forum.smartpls.com/viewtopic.php?f=5&amp;t=3805" TargetMode="External" /><Relationship Type="http://schemas.openxmlformats.org/officeDocument/2006/relationships/hyperlink" Id="rId27" Target="https://www.researchgate.net/profile/Jan_Michael_Be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Agencias</dc:title>
  <dc:creator>Roberto Gil-Saura</dc:creator>
  <cp:keywords/>
  <dcterms:created xsi:type="dcterms:W3CDTF">2021-05-11T17:37:23Z</dcterms:created>
  <dcterms:modified xsi:type="dcterms:W3CDTF">2021-05-11T17:37:23Z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editor_options">
    <vt:lpwstr/>
  </property>
  <property fmtid="{D5CDD505-2E9C-101B-9397-08002B2CF9AE}" pid="4" name="output">
    <vt:lpwstr/>
  </property>
  <property fmtid="{D5CDD505-2E9C-101B-9397-08002B2CF9AE}" pid="5" name="subtitle">
    <vt:lpwstr>Artículo 2 (versión 1)</vt:lpwstr>
  </property>
</Properties>
</file>