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65A6AF">
      <w:pPr>
        <w:spacing w:before="0" w:after="40"/>
        <w:jc w:val="center"/>
      </w:pPr>
      <w:bookmarkStart w:id="0" w:name="_GoBack"/>
      <w:bookmarkEnd w:id="0"/>
      <w:r>
        <w:rPr>
          <w:rFonts w:ascii="宋体" w:hAnsi="宋体" w:eastAsia="宋体" w:cs="宋体"/>
          <w:b/>
          <w:bCs/>
          <w:color w:val="2E4057"/>
          <w:sz w:val="36"/>
          <w:szCs w:val="36"/>
        </w:rPr>
        <w:t>陈厚</w:t>
      </w:r>
      <w:r>
        <w:rPr>
          <w:rFonts w:hint="eastAsia" w:ascii="宋体" w:hAnsi="宋体" w:eastAsia="宋体" w:cs="宋体"/>
          <w:b/>
          <w:bCs/>
          <w:color w:val="2E4057"/>
          <w:sz w:val="36"/>
          <w:szCs w:val="36"/>
          <w:lang w:val="en-US" w:eastAsia="zh-CN"/>
        </w:rPr>
        <w:t>瑄</w:t>
      </w:r>
    </w:p>
    <w:p w14:paraId="5703973E">
      <w:pPr>
        <w:spacing w:before="0" w:after="80"/>
        <w:jc w:val="center"/>
      </w:pPr>
      <w:r>
        <w:rPr>
          <w:rFonts w:hint="eastAsia" w:ascii="宋体" w:hAnsi="宋体" w:eastAsia="宋体" w:cs="宋体"/>
          <w:color w:val="888888"/>
          <w:sz w:val="18"/>
          <w:szCs w:val="18"/>
          <w:lang w:val="en-US" w:eastAsia="zh-CN"/>
        </w:rPr>
        <w:t>北京</w:t>
      </w:r>
      <w:r>
        <w:rPr>
          <w:rFonts w:ascii="宋体" w:hAnsi="宋体" w:eastAsia="宋体" w:cs="宋体"/>
          <w:color w:val="888888"/>
          <w:sz w:val="18"/>
          <w:szCs w:val="18"/>
        </w:rPr>
        <w:t xml:space="preserve">  |  rock21invictus@gmail.com  |  </w:t>
      </w:r>
      <w:r>
        <w:rPr>
          <w:rFonts w:ascii="宋体" w:hAnsi="宋体" w:eastAsia="宋体" w:cs="宋体"/>
          <w:color w:val="2E75B6"/>
          <w:sz w:val="18"/>
          <w:szCs w:val="18"/>
        </w:rPr>
        <w:t>github.com/rockchenshigong</w:t>
      </w:r>
    </w:p>
    <w:p w14:paraId="6140225E">
      <w:pPr>
        <w:pBdr>
          <w:bottom w:val="single" w:color="2E4057" w:sz="6" w:space="1"/>
        </w:pBdr>
        <w:spacing w:before="0" w:after="60"/>
      </w:pPr>
      <w:r>
        <w:rPr>
          <w:rFonts w:ascii="宋体" w:hAnsi="宋体" w:eastAsia="宋体" w:cs="宋体"/>
          <w:b/>
          <w:bCs/>
          <w:color w:val="2E4057"/>
          <w:sz w:val="22"/>
          <w:szCs w:val="22"/>
        </w:rPr>
        <w:t>工作经历</w:t>
      </w:r>
    </w:p>
    <w:tbl>
      <w:tblPr>
        <w:tblStyle w:val="10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0"/>
        <w:gridCol w:w="3160"/>
      </w:tblGrid>
      <w:tr w14:paraId="7F9B074C"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</w:tcPr>
          <w:p w14:paraId="68AFC2DD">
            <w:pPr>
              <w:spacing w:before="120" w:after="40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数据分析师 · AI 产品方向</w:t>
            </w:r>
            <w:r>
              <w:rPr>
                <w:rFonts w:ascii="宋体" w:hAnsi="宋体" w:eastAsia="宋体" w:cs="宋体"/>
                <w:color w:val="888888"/>
                <w:sz w:val="20"/>
                <w:szCs w:val="20"/>
              </w:rPr>
              <w:t xml:space="preserve">  ·  </w:t>
            </w:r>
            <w:r>
              <w:rPr>
                <w:rFonts w:ascii="宋体" w:hAnsi="宋体" w:eastAsia="宋体" w:cs="宋体"/>
                <w:color w:val="444444"/>
                <w:sz w:val="20"/>
                <w:szCs w:val="20"/>
              </w:rPr>
              <w:t>龙湖集团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</w:tcPr>
          <w:p w14:paraId="1A78D4DB">
            <w:pPr>
              <w:spacing w:before="120" w:after="40"/>
              <w:jc w:val="right"/>
            </w:pPr>
            <w:r>
              <w:rPr>
                <w:rFonts w:ascii="宋体" w:hAnsi="宋体" w:eastAsia="宋体" w:cs="宋体"/>
                <w:color w:val="888888"/>
                <w:sz w:val="18"/>
                <w:szCs w:val="18"/>
              </w:rPr>
              <w:t>2024年4月至今</w:t>
            </w:r>
          </w:p>
        </w:tc>
      </w:tr>
    </w:tbl>
    <w:p w14:paraId="6C445C01">
      <w:pPr>
        <w:spacing w:before="30" w:after="30"/>
        <w:ind w:left="360" w:hanging="240"/>
      </w:pPr>
      <w:r>
        <w:rPr>
          <w:rFonts w:ascii="宋体" w:hAnsi="宋体" w:eastAsia="宋体" w:cs="宋体"/>
          <w:color w:val="2E4057"/>
          <w:sz w:val="18"/>
          <w:szCs w:val="18"/>
        </w:rPr>
        <w:t xml:space="preserve">•  </w:t>
      </w:r>
      <w:r>
        <w:rPr>
          <w:rFonts w:ascii="宋体" w:hAnsi="宋体" w:eastAsia="宋体" w:cs="宋体"/>
          <w:color w:val="444444"/>
          <w:sz w:val="18"/>
          <w:szCs w:val="18"/>
        </w:rPr>
        <w:t>从零设计并搭建 ChatBI 企业产品自动化评估系统（飞书），覆盖 10+ 业务场景的端到端准确性测试、提示词优化建议自动生成及调优进度实时可视化。</w:t>
      </w:r>
    </w:p>
    <w:p w14:paraId="1745AD85">
      <w:pPr>
        <w:spacing w:before="30" w:after="30"/>
        <w:ind w:left="360" w:hanging="240"/>
      </w:pPr>
      <w:r>
        <w:rPr>
          <w:rFonts w:ascii="宋体" w:hAnsi="宋体" w:eastAsia="宋体" w:cs="宋体"/>
          <w:color w:val="2E4057"/>
          <w:sz w:val="18"/>
          <w:szCs w:val="18"/>
        </w:rPr>
        <w:t xml:space="preserve">•  </w:t>
      </w:r>
      <w:r>
        <w:rPr>
          <w:rFonts w:ascii="宋体" w:hAnsi="宋体" w:eastAsia="宋体" w:cs="宋体"/>
          <w:color w:val="444444"/>
          <w:sz w:val="18"/>
          <w:szCs w:val="18"/>
        </w:rPr>
        <w:t>担任 C4 业务单元 ChatBI 上线项目负责人：与产品经理对齐核心指标与权限逻辑，协调数据建模团队搭建指标体系，主导最终数据准确性验收直至生产上线。</w:t>
      </w:r>
    </w:p>
    <w:p w14:paraId="7DED3A54">
      <w:pPr>
        <w:spacing w:before="30" w:after="30"/>
        <w:ind w:left="360" w:hanging="240"/>
      </w:pPr>
      <w:r>
        <w:rPr>
          <w:rFonts w:ascii="宋体" w:hAnsi="宋体" w:eastAsia="宋体" w:cs="宋体"/>
          <w:color w:val="2E4057"/>
          <w:sz w:val="18"/>
          <w:szCs w:val="18"/>
        </w:rPr>
        <w:t xml:space="preserve">•  </w:t>
      </w:r>
      <w:r>
        <w:rPr>
          <w:rFonts w:ascii="宋体" w:hAnsi="宋体" w:eastAsia="宋体" w:cs="宋体"/>
          <w:color w:val="444444"/>
          <w:sz w:val="18"/>
          <w:szCs w:val="18"/>
        </w:rPr>
        <w:t>独立为 5 个业务单元搭建 BI 看板，将复杂运营数据转化为跨部门自助分析工具。</w:t>
      </w:r>
    </w:p>
    <w:p w14:paraId="5355E3A2">
      <w:pPr>
        <w:spacing w:before="30" w:after="30"/>
        <w:ind w:left="360" w:hanging="240"/>
      </w:pPr>
      <w:r>
        <w:rPr>
          <w:rFonts w:ascii="宋体" w:hAnsi="宋体" w:eastAsia="宋体" w:cs="宋体"/>
          <w:color w:val="2E4057"/>
          <w:sz w:val="18"/>
          <w:szCs w:val="18"/>
        </w:rPr>
        <w:t xml:space="preserve">•  </w:t>
      </w:r>
      <w:r>
        <w:rPr>
          <w:rFonts w:ascii="宋体" w:hAnsi="宋体" w:eastAsia="宋体" w:cs="宋体"/>
          <w:color w:val="444444"/>
          <w:sz w:val="18"/>
          <w:szCs w:val="18"/>
        </w:rPr>
        <w:t>深入接触 AI 产品约束，形成对 AI 交互体验瓶颈及设计绕过路径的实践理解。</w:t>
      </w:r>
    </w:p>
    <w:tbl>
      <w:tblPr>
        <w:tblStyle w:val="10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0"/>
        <w:gridCol w:w="3160"/>
      </w:tblGrid>
      <w:tr w14:paraId="5D292B4E"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</w:tcPr>
          <w:p w14:paraId="11AD9E2E">
            <w:pPr>
              <w:spacing w:before="120" w:after="40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AI 产品实习生</w:t>
            </w:r>
            <w:r>
              <w:rPr>
                <w:rFonts w:ascii="宋体" w:hAnsi="宋体" w:eastAsia="宋体" w:cs="宋体"/>
                <w:color w:val="888888"/>
                <w:sz w:val="20"/>
                <w:szCs w:val="20"/>
              </w:rPr>
              <w:t xml:space="preserve">  ·  </w:t>
            </w:r>
            <w:r>
              <w:rPr>
                <w:rFonts w:ascii="宋体" w:hAnsi="宋体" w:eastAsia="宋体" w:cs="宋体"/>
                <w:color w:val="444444"/>
                <w:sz w:val="20"/>
                <w:szCs w:val="20"/>
              </w:rPr>
              <w:t>TCL 鸿鹄实验室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</w:tcPr>
          <w:p w14:paraId="669640BA">
            <w:pPr>
              <w:spacing w:before="120" w:after="40"/>
              <w:jc w:val="right"/>
            </w:pPr>
            <w:r>
              <w:rPr>
                <w:rFonts w:ascii="宋体" w:hAnsi="宋体" w:eastAsia="宋体" w:cs="宋体"/>
                <w:color w:val="888888"/>
                <w:sz w:val="18"/>
                <w:szCs w:val="18"/>
              </w:rPr>
              <w:t>2024年7月 – 2025年6月</w:t>
            </w:r>
          </w:p>
        </w:tc>
      </w:tr>
    </w:tbl>
    <w:p w14:paraId="02CD18A2">
      <w:pPr>
        <w:spacing w:before="30" w:after="30"/>
        <w:ind w:left="360" w:hanging="240"/>
      </w:pPr>
      <w:r>
        <w:rPr>
          <w:rFonts w:ascii="宋体" w:hAnsi="宋体" w:eastAsia="宋体" w:cs="宋体"/>
          <w:color w:val="2E4057"/>
          <w:sz w:val="18"/>
          <w:szCs w:val="18"/>
        </w:rPr>
        <w:t xml:space="preserve">•  </w:t>
      </w:r>
      <w:r>
        <w:rPr>
          <w:rFonts w:ascii="宋体" w:hAnsi="宋体" w:eastAsia="宋体" w:cs="宋体"/>
          <w:color w:val="444444"/>
          <w:sz w:val="18"/>
          <w:szCs w:val="18"/>
        </w:rPr>
        <w:t>通过重新设计 SFT 训练数据架构（生成复杂多轮对话场景），将模型准确率提升 6%，获得更高质量的微调数据。</w:t>
      </w:r>
    </w:p>
    <w:p w14:paraId="4C0D408C">
      <w:pPr>
        <w:spacing w:before="30" w:after="30"/>
        <w:ind w:left="360" w:hanging="240"/>
      </w:pPr>
      <w:r>
        <w:rPr>
          <w:rFonts w:ascii="宋体" w:hAnsi="宋体" w:eastAsia="宋体" w:cs="宋体"/>
          <w:color w:val="2E4057"/>
          <w:sz w:val="18"/>
          <w:szCs w:val="18"/>
        </w:rPr>
        <w:t xml:space="preserve">•  </w:t>
      </w:r>
      <w:r>
        <w:rPr>
          <w:rFonts w:ascii="宋体" w:hAnsi="宋体" w:eastAsia="宋体" w:cs="宋体"/>
          <w:color w:val="444444"/>
          <w:sz w:val="18"/>
          <w:szCs w:val="18"/>
        </w:rPr>
        <w:t>针对被识别为核心 UX 瓶颈的响应延迟问题，在对多个开源 LLM 微调后进行基准测试，提出 AI-NLP 混合解决方案。</w:t>
      </w:r>
    </w:p>
    <w:p w14:paraId="014CE365">
      <w:pPr>
        <w:spacing w:before="30" w:after="30"/>
        <w:ind w:left="360" w:hanging="240"/>
      </w:pPr>
      <w:r>
        <w:rPr>
          <w:rFonts w:ascii="宋体" w:hAnsi="宋体" w:eastAsia="宋体" w:cs="宋体"/>
          <w:color w:val="2E4057"/>
          <w:sz w:val="18"/>
          <w:szCs w:val="18"/>
        </w:rPr>
        <w:t xml:space="preserve">•  </w:t>
      </w:r>
      <w:r>
        <w:rPr>
          <w:rFonts w:ascii="宋体" w:hAnsi="宋体" w:eastAsia="宋体" w:cs="宋体"/>
          <w:color w:val="444444"/>
          <w:sz w:val="18"/>
          <w:szCs w:val="18"/>
        </w:rPr>
        <w:t>与 AWS 合作构建产品手册翻译助手，通过自定义提示词工程管道调用 OpenAI API 处理 40,000+ 条目。</w:t>
      </w:r>
    </w:p>
    <w:tbl>
      <w:tblPr>
        <w:tblStyle w:val="10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0"/>
        <w:gridCol w:w="3160"/>
      </w:tblGrid>
      <w:tr w14:paraId="11B0071C"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</w:tcPr>
          <w:p w14:paraId="04133063">
            <w:pPr>
              <w:spacing w:before="120" w:after="40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商业分析师</w:t>
            </w:r>
            <w:r>
              <w:rPr>
                <w:rFonts w:ascii="宋体" w:hAnsi="宋体" w:eastAsia="宋体" w:cs="宋体"/>
                <w:color w:val="888888"/>
                <w:sz w:val="20"/>
                <w:szCs w:val="20"/>
              </w:rPr>
              <w:t xml:space="preserve">  ·  </w:t>
            </w:r>
            <w:r>
              <w:rPr>
                <w:rFonts w:ascii="宋体" w:hAnsi="宋体" w:eastAsia="宋体" w:cs="宋体"/>
                <w:color w:val="444444"/>
                <w:sz w:val="20"/>
                <w:szCs w:val="20"/>
              </w:rPr>
              <w:t>核桃编程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</w:tcPr>
          <w:p w14:paraId="1252CDC2">
            <w:pPr>
              <w:spacing w:before="120" w:after="40"/>
              <w:jc w:val="right"/>
            </w:pPr>
            <w:r>
              <w:rPr>
                <w:rFonts w:ascii="宋体" w:hAnsi="宋体" w:eastAsia="宋体" w:cs="宋体"/>
                <w:color w:val="888888"/>
                <w:sz w:val="18"/>
                <w:szCs w:val="18"/>
              </w:rPr>
              <w:t>2022年7月 – 2022年11月</w:t>
            </w:r>
          </w:p>
        </w:tc>
      </w:tr>
    </w:tbl>
    <w:p w14:paraId="6FF6C069">
      <w:pPr>
        <w:spacing w:before="30" w:after="30"/>
        <w:ind w:left="360" w:hanging="240"/>
      </w:pPr>
      <w:r>
        <w:rPr>
          <w:rFonts w:ascii="宋体" w:hAnsi="宋体" w:eastAsia="宋体" w:cs="宋体"/>
          <w:color w:val="2E4057"/>
          <w:sz w:val="18"/>
          <w:szCs w:val="18"/>
        </w:rPr>
        <w:t xml:space="preserve">•  </w:t>
      </w:r>
      <w:r>
        <w:rPr>
          <w:rFonts w:ascii="宋体" w:hAnsi="宋体" w:eastAsia="宋体" w:cs="宋体"/>
          <w:color w:val="444444"/>
          <w:sz w:val="18"/>
          <w:szCs w:val="18"/>
        </w:rPr>
        <w:t>分析 420 名试用用户，识别高价值行为特征；通过爬虫与漏斗分析推动 5 项产品优化和 3 项广告投放策略。</w:t>
      </w:r>
    </w:p>
    <w:p w14:paraId="3DC09A21">
      <w:pPr>
        <w:spacing w:before="30" w:after="30"/>
        <w:ind w:left="360" w:hanging="240"/>
      </w:pPr>
      <w:r>
        <w:rPr>
          <w:rFonts w:ascii="宋体" w:hAnsi="宋体" w:eastAsia="宋体" w:cs="宋体"/>
          <w:color w:val="2E4057"/>
          <w:sz w:val="18"/>
          <w:szCs w:val="18"/>
        </w:rPr>
        <w:t xml:space="preserve">•  </w:t>
      </w:r>
      <w:r>
        <w:rPr>
          <w:rFonts w:ascii="宋体" w:hAnsi="宋体" w:eastAsia="宋体" w:cs="宋体"/>
          <w:color w:val="444444"/>
          <w:sz w:val="18"/>
          <w:szCs w:val="18"/>
        </w:rPr>
        <w:t>建立数据驱动的销售绩效预警标准；主持 40+ 场跨部门英文对齐会议。</w:t>
      </w:r>
    </w:p>
    <w:p w14:paraId="79BD8622">
      <w:pPr>
        <w:spacing w:before="30" w:after="30"/>
        <w:ind w:left="360" w:hanging="240"/>
      </w:pPr>
      <w:r>
        <w:rPr>
          <w:rFonts w:ascii="宋体" w:hAnsi="宋体" w:eastAsia="宋体" w:cs="宋体"/>
          <w:color w:val="2E4057"/>
          <w:sz w:val="18"/>
          <w:szCs w:val="18"/>
        </w:rPr>
        <w:t xml:space="preserve">•  </w:t>
      </w:r>
      <w:r>
        <w:rPr>
          <w:rFonts w:ascii="宋体" w:hAnsi="宋体" w:eastAsia="宋体" w:cs="宋体"/>
          <w:color w:val="444444"/>
          <w:sz w:val="18"/>
          <w:szCs w:val="18"/>
        </w:rPr>
        <w:t>构建业务公式阈值与 Tableau 看板进行实时监控，数据可用性提升 70%。</w:t>
      </w:r>
    </w:p>
    <w:tbl>
      <w:tblPr>
        <w:tblStyle w:val="10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0"/>
        <w:gridCol w:w="3160"/>
      </w:tblGrid>
      <w:tr w14:paraId="299394D6"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</w:tcPr>
          <w:p w14:paraId="02F60CA6">
            <w:pPr>
              <w:spacing w:before="120" w:after="40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市场分析师</w:t>
            </w:r>
            <w:r>
              <w:rPr>
                <w:rFonts w:ascii="宋体" w:hAnsi="宋体" w:eastAsia="宋体" w:cs="宋体"/>
                <w:color w:val="888888"/>
                <w:sz w:val="20"/>
                <w:szCs w:val="20"/>
              </w:rPr>
              <w:t xml:space="preserve">  ·  </w:t>
            </w:r>
            <w:r>
              <w:rPr>
                <w:rFonts w:ascii="宋体" w:hAnsi="宋体" w:eastAsia="宋体" w:cs="宋体"/>
                <w:color w:val="444444"/>
                <w:sz w:val="20"/>
                <w:szCs w:val="20"/>
              </w:rPr>
              <w:t>擎朗智能（光大集团）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</w:tcPr>
          <w:p w14:paraId="603B8667">
            <w:pPr>
              <w:spacing w:before="120" w:after="40"/>
              <w:jc w:val="right"/>
            </w:pPr>
            <w:r>
              <w:rPr>
                <w:rFonts w:ascii="宋体" w:hAnsi="宋体" w:eastAsia="宋体" w:cs="宋体"/>
                <w:color w:val="888888"/>
                <w:sz w:val="18"/>
                <w:szCs w:val="18"/>
              </w:rPr>
              <w:t>2023年7月 – 2023年10月</w:t>
            </w:r>
          </w:p>
        </w:tc>
      </w:tr>
    </w:tbl>
    <w:p w14:paraId="408E8437">
      <w:pPr>
        <w:spacing w:before="30" w:after="30"/>
        <w:ind w:left="360" w:hanging="240"/>
      </w:pPr>
      <w:r>
        <w:rPr>
          <w:rFonts w:ascii="宋体" w:hAnsi="宋体" w:eastAsia="宋体" w:cs="宋体"/>
          <w:color w:val="2E4057"/>
          <w:sz w:val="18"/>
          <w:szCs w:val="18"/>
        </w:rPr>
        <w:t xml:space="preserve">•  </w:t>
      </w:r>
      <w:r>
        <w:rPr>
          <w:rFonts w:ascii="宋体" w:hAnsi="宋体" w:eastAsia="宋体" w:cs="宋体"/>
          <w:color w:val="444444"/>
          <w:sz w:val="18"/>
          <w:szCs w:val="18"/>
        </w:rPr>
        <w:t>通过电话拜访与世界机器人大会开展市场调研；产出 5 份无人配送行业调研报告及 22 份周度市场情报。</w:t>
      </w:r>
    </w:p>
    <w:p w14:paraId="076EFB80">
      <w:pPr>
        <w:spacing w:before="30" w:after="30"/>
        <w:ind w:left="360" w:hanging="240"/>
      </w:pPr>
      <w:r>
        <w:rPr>
          <w:rFonts w:ascii="宋体" w:hAnsi="宋体" w:eastAsia="宋体" w:cs="宋体"/>
          <w:color w:val="2E4057"/>
          <w:sz w:val="18"/>
          <w:szCs w:val="18"/>
        </w:rPr>
        <w:t xml:space="preserve">•  </w:t>
      </w:r>
      <w:r>
        <w:rPr>
          <w:rFonts w:ascii="宋体" w:hAnsi="宋体" w:eastAsia="宋体" w:cs="宋体"/>
          <w:color w:val="444444"/>
          <w:sz w:val="18"/>
          <w:szCs w:val="18"/>
        </w:rPr>
        <w:t>搭建 SQL 业务数据表与 BI 看板，追踪核心运营指标。</w:t>
      </w:r>
    </w:p>
    <w:p w14:paraId="06DC4A2A">
      <w:pPr>
        <w:pBdr>
          <w:bottom w:val="single" w:color="2E4057" w:sz="6" w:space="1"/>
        </w:pBdr>
        <w:spacing w:before="0" w:after="60"/>
      </w:pPr>
      <w:r>
        <w:rPr>
          <w:rFonts w:ascii="宋体" w:hAnsi="宋体" w:eastAsia="宋体" w:cs="宋体"/>
          <w:b/>
          <w:bCs/>
          <w:color w:val="2E4057"/>
          <w:sz w:val="22"/>
          <w:szCs w:val="22"/>
        </w:rPr>
        <w:t>项目</w:t>
      </w:r>
    </w:p>
    <w:p w14:paraId="65D00EDB">
      <w:pPr>
        <w:tabs>
          <w:tab w:val="right" w:pos="9360"/>
        </w:tabs>
        <w:spacing w:before="100" w:after="30"/>
      </w:pPr>
      <w:r>
        <w:rPr>
          <w:rFonts w:ascii="宋体" w:hAnsi="宋体" w:eastAsia="宋体" w:cs="宋体"/>
          <w:b/>
          <w:bCs/>
          <w:sz w:val="19"/>
          <w:szCs w:val="19"/>
        </w:rPr>
        <w:t>语音 AI 思维助手  ·  个人项目</w:t>
      </w:r>
      <w:r>
        <w:rPr>
          <w:rFonts w:ascii="宋体" w:hAnsi="宋体" w:eastAsia="宋体" w:cs="宋体"/>
          <w:color w:val="888888"/>
          <w:sz w:val="18"/>
          <w:szCs w:val="18"/>
        </w:rPr>
        <w:tab/>
        <w:t>2025</w:t>
      </w:r>
    </w:p>
    <w:p w14:paraId="7DBC4B23">
      <w:pPr>
        <w:spacing w:before="30" w:after="30"/>
        <w:ind w:left="360" w:hanging="240"/>
      </w:pPr>
      <w:r>
        <w:rPr>
          <w:rFonts w:ascii="宋体" w:hAnsi="宋体" w:eastAsia="宋体" w:cs="宋体"/>
          <w:color w:val="2E4057"/>
          <w:sz w:val="18"/>
          <w:szCs w:val="18"/>
        </w:rPr>
        <w:t xml:space="preserve">•  </w:t>
      </w:r>
      <w:r>
        <w:rPr>
          <w:rFonts w:ascii="宋体" w:hAnsi="宋体" w:eastAsia="宋体" w:cs="宋体"/>
          <w:color w:val="444444"/>
          <w:sz w:val="18"/>
          <w:szCs w:val="18"/>
        </w:rPr>
        <w:t>构建语音优先的 AI 思维工具：语音识别 → 转录 → 情境 AI 回应，围绕「转瞬即逝的想法需要无摩擦捕捉」的洞察进行设计。</w:t>
      </w:r>
    </w:p>
    <w:p w14:paraId="66E84899">
      <w:pPr>
        <w:spacing w:before="30" w:after="30"/>
        <w:ind w:left="360" w:hanging="240"/>
      </w:pPr>
      <w:r>
        <w:rPr>
          <w:rFonts w:ascii="宋体" w:hAnsi="宋体" w:eastAsia="宋体" w:cs="宋体"/>
          <w:color w:val="2E4057"/>
          <w:sz w:val="18"/>
          <w:szCs w:val="18"/>
        </w:rPr>
        <w:t xml:space="preserve">•  </w:t>
      </w:r>
      <w:r>
        <w:rPr>
          <w:rFonts w:ascii="宋体" w:hAnsi="宋体" w:eastAsia="宋体" w:cs="宋体"/>
          <w:color w:val="444444"/>
          <w:sz w:val="18"/>
          <w:szCs w:val="18"/>
        </w:rPr>
        <w:t>核心链路已跑通；持续迭代产品层——新增追问提示与思维历史功能，以深化人机交互模型。</w:t>
      </w:r>
    </w:p>
    <w:p w14:paraId="5C153923">
      <w:pPr>
        <w:tabs>
          <w:tab w:val="right" w:pos="9360"/>
        </w:tabs>
        <w:spacing w:before="100" w:after="30"/>
      </w:pPr>
      <w:r>
        <w:rPr>
          <w:rFonts w:ascii="宋体" w:hAnsi="宋体" w:eastAsia="宋体" w:cs="宋体"/>
          <w:b/>
          <w:bCs/>
          <w:sz w:val="19"/>
          <w:szCs w:val="19"/>
        </w:rPr>
        <w:t>美团商业分析</w:t>
      </w:r>
      <w:r>
        <w:rPr>
          <w:rFonts w:ascii="宋体" w:hAnsi="宋体" w:eastAsia="宋体" w:cs="宋体"/>
          <w:color w:val="888888"/>
          <w:sz w:val="18"/>
          <w:szCs w:val="18"/>
        </w:rPr>
        <w:tab/>
        <w:t>2024</w:t>
      </w:r>
    </w:p>
    <w:p w14:paraId="022A6D13">
      <w:pPr>
        <w:spacing w:before="30" w:after="30"/>
        <w:ind w:left="360" w:hanging="240"/>
      </w:pPr>
      <w:r>
        <w:rPr>
          <w:rFonts w:ascii="宋体" w:hAnsi="宋体" w:eastAsia="宋体" w:cs="宋体"/>
          <w:color w:val="2E4057"/>
          <w:sz w:val="18"/>
          <w:szCs w:val="18"/>
        </w:rPr>
        <w:t xml:space="preserve">•  </w:t>
      </w:r>
      <w:r>
        <w:rPr>
          <w:rFonts w:ascii="宋体" w:hAnsi="宋体" w:eastAsia="宋体" w:cs="宋体"/>
          <w:color w:val="444444"/>
          <w:sz w:val="18"/>
          <w:szCs w:val="18"/>
        </w:rPr>
        <w:t>对 2 个外卖品牌进行营收与成本分析；识别低效门店并通过 Tableau 看板制定流量优化策略。</w:t>
      </w:r>
    </w:p>
    <w:p w14:paraId="503379BA">
      <w:pPr>
        <w:tabs>
          <w:tab w:val="right" w:pos="9360"/>
        </w:tabs>
        <w:spacing w:before="100" w:after="30"/>
      </w:pPr>
      <w:r>
        <w:rPr>
          <w:rFonts w:ascii="宋体" w:hAnsi="宋体" w:eastAsia="宋体" w:cs="宋体"/>
          <w:b/>
          <w:bCs/>
          <w:sz w:val="19"/>
          <w:szCs w:val="19"/>
        </w:rPr>
        <w:t>AI 驱动的企业估值系统</w:t>
      </w:r>
      <w:r>
        <w:rPr>
          <w:rFonts w:ascii="宋体" w:hAnsi="宋体" w:eastAsia="宋体" w:cs="宋体"/>
          <w:color w:val="888888"/>
          <w:sz w:val="18"/>
          <w:szCs w:val="18"/>
        </w:rPr>
        <w:tab/>
        <w:t>2024</w:t>
      </w:r>
    </w:p>
    <w:p w14:paraId="6F87E0CF">
      <w:pPr>
        <w:spacing w:before="30" w:after="30"/>
        <w:ind w:left="360"/>
      </w:pPr>
      <w:r>
        <w:rPr>
          <w:rFonts w:ascii="宋体" w:hAnsi="宋体" w:eastAsia="宋体" w:cs="宋体"/>
          <w:color w:val="2E75B6"/>
          <w:sz w:val="18"/>
          <w:szCs w:val="18"/>
        </w:rPr>
        <w:t>github.com/rockchenshigong/financial-valuation</w:t>
      </w:r>
    </w:p>
    <w:p w14:paraId="67D1AFFE">
      <w:pPr>
        <w:spacing w:before="60" w:after="40"/>
      </w:pPr>
      <w:r>
        <w:rPr>
          <w:rFonts w:ascii="宋体" w:hAnsi="宋体" w:eastAsia="宋体" w:cs="宋体"/>
          <w:b/>
          <w:bCs/>
          <w:sz w:val="18"/>
          <w:szCs w:val="18"/>
        </w:rPr>
        <w:t>其他：</w:t>
      </w:r>
      <w:r>
        <w:rPr>
          <w:rFonts w:ascii="宋体" w:hAnsi="宋体" w:eastAsia="宋体" w:cs="宋体"/>
          <w:color w:val="666666"/>
          <w:sz w:val="18"/>
          <w:szCs w:val="18"/>
        </w:rPr>
        <w:t>信用违约分析 — 详见 GitHub</w:t>
      </w:r>
    </w:p>
    <w:p w14:paraId="6771ED26">
      <w:pPr>
        <w:pBdr>
          <w:bottom w:val="single" w:color="2E4057" w:sz="6" w:space="1"/>
        </w:pBdr>
        <w:spacing w:before="0" w:after="60"/>
      </w:pPr>
      <w:r>
        <w:rPr>
          <w:rFonts w:ascii="宋体" w:hAnsi="宋体" w:eastAsia="宋体" w:cs="宋体"/>
          <w:b/>
          <w:bCs/>
          <w:color w:val="2E4057"/>
          <w:sz w:val="22"/>
          <w:szCs w:val="22"/>
        </w:rPr>
        <w:t>技能</w:t>
      </w:r>
    </w:p>
    <w:p w14:paraId="50452D7C">
      <w:pPr>
        <w:spacing w:before="30" w:after="30"/>
      </w:pPr>
      <w:r>
        <w:rPr>
          <w:rFonts w:ascii="宋体" w:hAnsi="宋体" w:eastAsia="宋体" w:cs="宋体"/>
          <w:b/>
          <w:bCs/>
          <w:sz w:val="18"/>
          <w:szCs w:val="18"/>
        </w:rPr>
        <w:t>AI / 产品：</w:t>
      </w:r>
      <w:r>
        <w:rPr>
          <w:rFonts w:ascii="宋体" w:hAnsi="宋体" w:eastAsia="宋体" w:cs="宋体"/>
          <w:color w:val="444444"/>
          <w:sz w:val="18"/>
          <w:szCs w:val="18"/>
        </w:rPr>
        <w:t>Prompt Engineering、LLM 微调（SFT）、AI 产品评测、自动化测试设计</w:t>
      </w:r>
    </w:p>
    <w:p w14:paraId="7514FF06">
      <w:pPr>
        <w:spacing w:before="30" w:after="30"/>
      </w:pPr>
      <w:r>
        <w:rPr>
          <w:rFonts w:ascii="宋体" w:hAnsi="宋体" w:eastAsia="宋体" w:cs="宋体"/>
          <w:b/>
          <w:bCs/>
          <w:sz w:val="18"/>
          <w:szCs w:val="18"/>
        </w:rPr>
        <w:t>数据分析：</w:t>
      </w:r>
      <w:r>
        <w:rPr>
          <w:rFonts w:ascii="宋体" w:hAnsi="宋体" w:eastAsia="宋体" w:cs="宋体"/>
          <w:color w:val="444444"/>
          <w:sz w:val="18"/>
          <w:szCs w:val="18"/>
        </w:rPr>
        <w:t>Python（Pandas、Sklearn、BeautifulSoup）、SQL、Tableau、PowerBI、R</w:t>
      </w:r>
    </w:p>
    <w:p w14:paraId="74085CFD">
      <w:pPr>
        <w:spacing w:before="30" w:after="30"/>
      </w:pPr>
      <w:r>
        <w:rPr>
          <w:rFonts w:ascii="宋体" w:hAnsi="宋体" w:eastAsia="宋体" w:cs="宋体"/>
          <w:b/>
          <w:bCs/>
          <w:sz w:val="18"/>
          <w:szCs w:val="18"/>
        </w:rPr>
        <w:t>语言：</w:t>
      </w:r>
      <w:r>
        <w:rPr>
          <w:rFonts w:ascii="宋体" w:hAnsi="宋体" w:eastAsia="宋体" w:cs="宋体"/>
          <w:color w:val="444444"/>
          <w:sz w:val="18"/>
          <w:szCs w:val="18"/>
        </w:rPr>
        <w:t>英语（GRE 322，IELTS 7.5，Speaking 7.5；全英文硕士）</w:t>
      </w:r>
    </w:p>
    <w:p w14:paraId="0B5CEC7F">
      <w:pPr>
        <w:pBdr>
          <w:bottom w:val="single" w:color="2E4057" w:sz="6" w:space="1"/>
        </w:pBdr>
        <w:spacing w:before="0" w:after="60"/>
      </w:pPr>
      <w:r>
        <w:rPr>
          <w:rFonts w:ascii="宋体" w:hAnsi="宋体" w:eastAsia="宋体" w:cs="宋体"/>
          <w:b/>
          <w:bCs/>
          <w:color w:val="2E4057"/>
          <w:sz w:val="22"/>
          <w:szCs w:val="22"/>
        </w:rPr>
        <w:t>教育背景</w:t>
      </w:r>
    </w:p>
    <w:tbl>
      <w:tblPr>
        <w:tblStyle w:val="10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0"/>
        <w:gridCol w:w="3160"/>
      </w:tblGrid>
      <w:tr w14:paraId="661C8F67"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</w:tcPr>
          <w:p w14:paraId="4EF56537">
            <w:pPr>
              <w:spacing w:before="100" w:after="20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南洋理工大学（NTU）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</w:tcPr>
          <w:p w14:paraId="7DF1EC7E">
            <w:pPr>
              <w:spacing w:before="100" w:after="20"/>
              <w:jc w:val="right"/>
            </w:pPr>
            <w:r>
              <w:rPr>
                <w:rFonts w:ascii="宋体" w:hAnsi="宋体" w:eastAsia="宋体" w:cs="宋体"/>
                <w:color w:val="888888"/>
                <w:sz w:val="18"/>
                <w:szCs w:val="18"/>
              </w:rPr>
              <w:t>2024年9月 – 2025年6月</w:t>
            </w:r>
          </w:p>
        </w:tc>
      </w:tr>
    </w:tbl>
    <w:p w14:paraId="662C0EBC">
      <w:pPr>
        <w:spacing w:before="20" w:after="20"/>
      </w:pPr>
      <w:r>
        <w:rPr>
          <w:rFonts w:ascii="宋体" w:hAnsi="宋体" w:eastAsia="宋体" w:cs="宋体"/>
          <w:color w:val="444444"/>
          <w:sz w:val="18"/>
          <w:szCs w:val="18"/>
        </w:rPr>
        <w:t>商业分析 硕士</w:t>
      </w:r>
    </w:p>
    <w:p w14:paraId="72ACB7C8">
      <w:pPr>
        <w:spacing w:before="20" w:after="20"/>
      </w:pPr>
      <w:r>
        <w:rPr>
          <w:rFonts w:ascii="宋体" w:hAnsi="宋体" w:eastAsia="宋体" w:cs="宋体"/>
          <w:color w:val="666666"/>
          <w:sz w:val="18"/>
          <w:szCs w:val="18"/>
        </w:rPr>
        <w:t>主修：国际经济学（4.0/4.0）、全球价值链（4.0/4.0）、因果推断、Python、宏观仿真</w:t>
      </w:r>
    </w:p>
    <w:tbl>
      <w:tblPr>
        <w:tblStyle w:val="10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0"/>
        <w:gridCol w:w="3160"/>
      </w:tblGrid>
      <w:tr w14:paraId="288A78AB"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</w:tcPr>
          <w:p w14:paraId="24E1E2D8">
            <w:pPr>
              <w:spacing w:before="100" w:after="20"/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</w:rPr>
              <w:t>对外经济贸易大学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</w:tcPr>
          <w:p w14:paraId="71D1F445">
            <w:pPr>
              <w:spacing w:before="100" w:after="20"/>
              <w:jc w:val="right"/>
            </w:pPr>
            <w:r>
              <w:rPr>
                <w:rFonts w:ascii="宋体" w:hAnsi="宋体" w:eastAsia="宋体" w:cs="宋体"/>
                <w:color w:val="888888"/>
                <w:sz w:val="18"/>
                <w:szCs w:val="18"/>
              </w:rPr>
              <w:t>2019年9月 – 2023年6月</w:t>
            </w:r>
          </w:p>
        </w:tc>
      </w:tr>
    </w:tbl>
    <w:p w14:paraId="4A600303">
      <w:pPr>
        <w:spacing w:before="20" w:after="20"/>
      </w:pPr>
      <w:r>
        <w:rPr>
          <w:rFonts w:ascii="宋体" w:hAnsi="宋体" w:eastAsia="宋体" w:cs="宋体"/>
          <w:color w:val="444444"/>
          <w:sz w:val="18"/>
          <w:szCs w:val="18"/>
        </w:rPr>
        <w:t>经济学学士 · 国际经济与贸易</w:t>
      </w:r>
    </w:p>
    <w:p w14:paraId="284BDF5C">
      <w:pPr>
        <w:spacing w:before="20" w:after="20"/>
      </w:pPr>
      <w:r>
        <w:rPr>
          <w:rFonts w:ascii="宋体" w:hAnsi="宋体" w:eastAsia="宋体" w:cs="宋体"/>
          <w:color w:val="666666"/>
          <w:sz w:val="18"/>
          <w:szCs w:val="18"/>
        </w:rPr>
        <w:t>荣誉：台港澳奖学金 · 鸿鹄创业奖 · 欧莱雅 BrandStorm 全国百强</w:t>
      </w:r>
    </w:p>
    <w:sectPr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9ED975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rPr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陳厚瑄</cp:lastModifiedBy>
  <dcterms:modified xsi:type="dcterms:W3CDTF">2026-03-15T21:43:03Z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DBF728B0604A2DAF67B7B669251A89EC_42</vt:lpwstr>
  </property>
</Properties>
</file>