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935B2D" w:rsidRPr="00783AF7" w:rsidRDefault="002F077E" w:rsidP="00783AF7">
      <w:pPr>
        <w:pStyle w:val="Sansinterligne"/>
        <w:jc w:val="both"/>
        <w:rPr>
          <w:rStyle w:val="Titredulivre"/>
          <w:rFonts w:ascii="CMU Serif" w:hAnsi="CMU Serif" w:cs="CMU Serif"/>
          <w:caps w:val="0"/>
          <w:color w:val="auto"/>
          <w:spacing w:val="0"/>
          <w:lang w:val="fr-FR"/>
        </w:rPr>
      </w:pPr>
      <w:r w:rsidRPr="002047C7">
        <w:rPr>
          <w:rFonts w:ascii="CMU Serif" w:hAnsi="CMU Serif" w:cs="CMU Serif"/>
          <w:lang w:val="fr-FR"/>
        </w:rPr>
        <w:tab/>
      </w:r>
      <w:r w:rsidR="00152FD8">
        <w:rPr>
          <w:rFonts w:ascii="CMU Serif" w:hAnsi="CMU Serif" w:cs="CMU Serif"/>
          <w:lang w:val="fr-FR"/>
        </w:rPr>
        <w:t>Pour</w:t>
      </w:r>
      <w:r w:rsidR="00D60D13" w:rsidRPr="002047C7">
        <w:rPr>
          <w:rFonts w:ascii="CMU Serif" w:hAnsi="CMU Serif" w:cs="CMU Serif"/>
          <w:lang w:val="fr-FR"/>
        </w:rPr>
        <w:t xml:space="preserve">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6D4504">
      <w:pPr>
        <w:pStyle w:val="Sansinterligne"/>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6D4504">
      <w:pPr>
        <w:pStyle w:val="Sansinterligne"/>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E00CE6" w:rsidP="006D4504">
      <w:pPr>
        <w:pStyle w:val="Sansinterligne"/>
        <w:jc w:val="both"/>
        <w:rPr>
          <w:rFonts w:ascii="CMU Serif" w:hAnsi="CMU Serif" w:cs="CMU Serif"/>
          <w:lang w:val="fr-FR"/>
        </w:rPr>
      </w:pPr>
    </w:p>
    <w:p w:rsidR="00E00CE6" w:rsidRPr="002047C7" w:rsidRDefault="0086567B"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1553845</wp:posOffset>
            </wp:positionH>
            <wp:positionV relativeFrom="paragraph">
              <wp:posOffset>24765</wp:posOffset>
            </wp:positionV>
            <wp:extent cx="1976755" cy="1482725"/>
            <wp:effectExtent l="19050" t="19050" r="23495"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1976755" cy="1482725"/>
                    </a:xfrm>
                    <a:prstGeom prst="rect">
                      <a:avLst/>
                    </a:prstGeom>
                    <a:ln>
                      <a:solidFill>
                        <a:schemeClr val="bg1">
                          <a:lumMod val="50000"/>
                        </a:schemeClr>
                      </a:solidFill>
                    </a:ln>
                  </pic:spPr>
                </pic:pic>
              </a:graphicData>
            </a:graphic>
          </wp:anchor>
        </w:drawing>
      </w:r>
      <w:r w:rsidR="002B7369">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1270</wp:posOffset>
            </wp:positionH>
            <wp:positionV relativeFrom="paragraph">
              <wp:posOffset>64135</wp:posOffset>
            </wp:positionV>
            <wp:extent cx="1863090" cy="1397000"/>
            <wp:effectExtent l="19050" t="19050" r="22860" b="12700"/>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CC335D" w:rsidRPr="002047C7" w:rsidRDefault="00CC335D"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B50210" w:rsidP="006D4504">
      <w:pPr>
        <w:pStyle w:val="Sansinterligne"/>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8" type="#_x0000_t202" style="position:absolute;left:0;text-align:left;margin-left:-4pt;margin-top:17.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r>
        <w:rPr>
          <w:rFonts w:ascii="CMU Serif" w:hAnsi="CMU Serif" w:cs="CMU Serif"/>
          <w:noProof/>
          <w:lang w:val="fr-FR"/>
        </w:rPr>
        <w:pict>
          <v:shape id="_x0000_s1029" type="#_x0000_t202" style="position:absolute;left:0;text-align:left;margin-left:76.55pt;margin-top:17.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p>
    <w:p w:rsidR="00CC335D" w:rsidRPr="002047C7" w:rsidRDefault="00CC335D" w:rsidP="006D4504">
      <w:pPr>
        <w:pStyle w:val="Sansinterligne"/>
        <w:jc w:val="both"/>
        <w:rPr>
          <w:rFonts w:ascii="CMU Serif" w:hAnsi="CMU Serif" w:cs="CMU Serif"/>
          <w:lang w:val="fr-FR"/>
        </w:rPr>
      </w:pPr>
    </w:p>
    <w:p w:rsidR="00E00CE6" w:rsidRPr="002047C7" w:rsidRDefault="00B50210" w:rsidP="006D4504">
      <w:pPr>
        <w:pStyle w:val="Sansinterligne"/>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19.95pt;width:251.25pt;height:126.75pt;z-index:251661312;mso-width-relative:margin;mso-height-relative:margin" strokecolor="#7f7f7f [1612]">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w:t>
                  </w:r>
                  <w:r w:rsidR="007709E5">
                    <w:rPr>
                      <w:rFonts w:ascii="CMU Serif" w:hAnsi="CMU Serif" w:cs="CMU Serif"/>
                      <w:lang w:val="fr-FR"/>
                    </w:rPr>
                    <w:t xml:space="preserve"> objet</w:t>
                  </w:r>
                  <w:r w:rsidR="002B7369">
                    <w:rPr>
                      <w:rFonts w:ascii="CMU Serif" w:hAnsi="CMU Serif" w:cs="CMU Serif"/>
                      <w:lang w:val="fr-FR"/>
                    </w:rPr>
                    <w:t xml:space="preserve"> et un point de vue, noté P1</w:t>
                  </w:r>
                  <w:r w:rsidR="00FA73C2" w:rsidRPr="00A801B3">
                    <w:rPr>
                      <w:rFonts w:ascii="CMU Serif" w:hAnsi="CMU Serif" w:cs="CMU Serif"/>
                      <w:lang w:val="fr-FR"/>
                    </w:rPr>
                    <w:t>.</w:t>
                  </w:r>
                </w:p>
                <w:p w:rsidR="00AB0C40" w:rsidRDefault="0014132D">
                  <w:pPr>
                    <w:rPr>
                      <w:rFonts w:ascii="CMU Serif" w:hAnsi="CMU Serif" w:cs="CMU Serif"/>
                      <w:lang w:val="fr-FR"/>
                    </w:rPr>
                  </w:pPr>
                  <w:r>
                    <w:rPr>
                      <w:rFonts w:ascii="CMU Serif" w:hAnsi="CMU Serif" w:cs="CMU Serif"/>
                      <w:lang w:val="fr-FR"/>
                    </w:rPr>
                    <w:t>En (b), l’objet et le cône associé à la vue depuis P1</w:t>
                  </w:r>
                  <w:r w:rsidR="00791FF5" w:rsidRPr="00A801B3">
                    <w:rPr>
                      <w:rFonts w:ascii="CMU Serif" w:hAnsi="CMU Serif" w:cs="CMU Serif"/>
                      <w:lang w:val="fr-FR"/>
                    </w:rPr>
                    <w:t>.</w:t>
                  </w:r>
                </w:p>
                <w:p w:rsidR="006C1CB0" w:rsidRPr="00A801B3" w:rsidRDefault="006C1CB0">
                  <w:pPr>
                    <w:rPr>
                      <w:rFonts w:ascii="CMU Serif" w:hAnsi="CMU Serif" w:cs="CMU Serif"/>
                      <w:lang w:val="fr-FR"/>
                    </w:rPr>
                  </w:pPr>
                  <w:r>
                    <w:rPr>
                      <w:rFonts w:ascii="CMU Serif" w:hAnsi="CMU Serif" w:cs="CMU Serif"/>
                      <w:lang w:val="fr-FR"/>
                    </w:rPr>
                    <w:t xml:space="preserve">En (c), </w:t>
                  </w:r>
                  <w:r w:rsidR="00152FD8">
                    <w:rPr>
                      <w:rFonts w:ascii="CMU Serif" w:hAnsi="CMU Serif" w:cs="CMU Serif"/>
                      <w:lang w:val="fr-FR"/>
                    </w:rPr>
                    <w:t>l’enveloppe visuelle (le cône) seule.</w:t>
                  </w:r>
                </w:p>
                <w:p w:rsidR="00791FF5" w:rsidRPr="00A801B3" w:rsidRDefault="00791FF5">
                  <w:pPr>
                    <w:rPr>
                      <w:rFonts w:ascii="CMU Serif" w:hAnsi="CMU Serif" w:cs="CMU Serif"/>
                      <w:lang w:val="fr-FR"/>
                    </w:rPr>
                  </w:pPr>
                </w:p>
              </w:txbxContent>
            </v:textbox>
            <w10:wrap type="square"/>
          </v:shape>
        </w:pict>
      </w:r>
    </w:p>
    <w:p w:rsidR="00E00CE6" w:rsidRPr="002047C7" w:rsidRDefault="00AD2A64"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1270</wp:posOffset>
            </wp:positionH>
            <wp:positionV relativeFrom="paragraph">
              <wp:posOffset>59055</wp:posOffset>
            </wp:positionV>
            <wp:extent cx="1863090" cy="1397000"/>
            <wp:effectExtent l="19050" t="19050" r="22860" b="12700"/>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7"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F83356" w:rsidRPr="002047C7" w:rsidRDefault="00F83356" w:rsidP="006D4504">
      <w:pPr>
        <w:pStyle w:val="Sansinterligne"/>
        <w:jc w:val="both"/>
        <w:rPr>
          <w:rFonts w:ascii="CMU Serif" w:hAnsi="CMU Serif" w:cs="CMU Serif"/>
          <w:lang w:val="fr-FR"/>
        </w:rPr>
      </w:pPr>
    </w:p>
    <w:p w:rsidR="00925E55" w:rsidRPr="002047C7" w:rsidRDefault="00B50210" w:rsidP="006D4504">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34.55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8B5ED4" w:rsidRPr="002047C7" w:rsidRDefault="008B5ED4" w:rsidP="006D4504">
      <w:pPr>
        <w:pStyle w:val="Sansinterligne"/>
        <w:jc w:val="both"/>
        <w:rPr>
          <w:rFonts w:ascii="CMU Serif" w:hAnsi="CMU Serif" w:cs="CMU Serif"/>
          <w:lang w:val="fr-FR"/>
        </w:rPr>
      </w:pPr>
    </w:p>
    <w:p w:rsidR="00925E55" w:rsidRPr="002047C7" w:rsidRDefault="00B50210" w:rsidP="006D4504">
      <w:pPr>
        <w:pStyle w:val="Sansinterligne"/>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8"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9"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0"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p>
    <w:p w:rsidR="00E47B0D" w:rsidRPr="002047C7" w:rsidRDefault="00B50210" w:rsidP="006D4504">
      <w:pPr>
        <w:pStyle w:val="Sansinterligne"/>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correspondant aux deux points de vue</w:t>
                  </w:r>
                  <w:r w:rsidR="003B60A2">
                    <w:rPr>
                      <w:rFonts w:ascii="CMU Concrete" w:hAnsi="CMU Concrete" w:cs="CMU Concrete"/>
                      <w:lang w:val="fr-FR"/>
                    </w:rPr>
                    <w:t xml:space="preserve"> P1 et P2</w:t>
                  </w:r>
                  <w:r w:rsidR="00074EC9" w:rsidRPr="00BE1C5D">
                    <w:rPr>
                      <w:rFonts w:ascii="CMU Concrete" w:hAnsi="CMU Concrete" w:cs="CMU Concrete"/>
                      <w:lang w:val="fr-FR"/>
                    </w:rPr>
                    <w:t xml:space="preserv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0737F4" w:rsidRDefault="000737F4"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320318" w:rsidP="006D4504">
      <w:pPr>
        <w:pStyle w:val="Sansinterligne"/>
        <w:numPr>
          <w:ilvl w:val="0"/>
          <w:numId w:val="1"/>
        </w:numPr>
        <w:jc w:val="both"/>
        <w:rPr>
          <w:rFonts w:ascii="CMU Serif" w:hAnsi="CMU Serif" w:cs="CMU Serif"/>
          <w:lang w:val="fr-FR"/>
        </w:rPr>
      </w:pPr>
      <w:r>
        <w:rPr>
          <w:rFonts w:ascii="CMU Serif" w:hAnsi="CMU Serif" w:cs="CMU Serif"/>
          <w:b/>
          <w:noProof/>
          <w:lang w:val="fr-FR" w:eastAsia="fr-FR"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14.65pt;margin-top:81.55pt;width:40.4pt;height:30pt;z-index:251678720" fillcolor="#4f81bd [3204]" strokecolor="#c4bc96 [2414]" strokeweight="3pt">
            <v:shadow on="t" type="perspective" color="#243f60 [1604]" opacity=".5" offset="1pt" offset2="-1pt"/>
            <w10:wrap type="square"/>
          </v:shape>
        </w:pict>
      </w:r>
      <w:r w:rsidR="00CB20DD" w:rsidRPr="00F7278E">
        <w:rPr>
          <w:rFonts w:ascii="CMU Serif" w:hAnsi="CMU Serif" w:cs="CMU Serif"/>
          <w:b/>
          <w:lang w:val="fr-FR"/>
        </w:rPr>
        <w:t>Le traitement de la photographie</w:t>
      </w:r>
      <w:r w:rsidR="00CB20DD">
        <w:rPr>
          <w:rFonts w:ascii="CMU Serif" w:hAnsi="CMU Serif" w:cs="CMU Serif"/>
          <w:lang w:val="fr-FR"/>
        </w:rPr>
        <w:t xml:space="preserve">, </w:t>
      </w:r>
      <w:r w:rsidR="00541299">
        <w:rPr>
          <w:rFonts w:ascii="CMU Serif" w:hAnsi="CMU Serif" w:cs="CMU Serif"/>
          <w:lang w:val="fr-FR"/>
        </w:rPr>
        <w:t xml:space="preserve">pour </w:t>
      </w:r>
      <w:r w:rsidR="00CB20DD">
        <w:rPr>
          <w:rFonts w:ascii="CMU Serif" w:hAnsi="CMU Serif" w:cs="CMU Serif"/>
          <w:lang w:val="fr-FR"/>
        </w:rPr>
        <w:t>dégager la silhouette de l’objet</w:t>
      </w:r>
      <w:r w:rsidR="00541299">
        <w:rPr>
          <w:rFonts w:ascii="CMU Serif" w:hAnsi="CMU Serif" w:cs="CMU Serif"/>
          <w:lang w:val="fr-FR"/>
        </w:rPr>
        <w:t xml:space="preserve"> : </w:t>
      </w:r>
      <w:r w:rsidR="00541299">
        <w:rPr>
          <w:rFonts w:ascii="CMU Serif" w:hAnsi="CMU Serif" w:cs="CMU Serif"/>
          <w:noProof/>
          <w:lang w:val="fr-FR" w:eastAsia="fr-FR" w:bidi="ar-SA"/>
        </w:rPr>
        <w:drawing>
          <wp:inline distT="0" distB="0" distL="0" distR="0">
            <wp:extent cx="2034000" cy="2034000"/>
            <wp:effectExtent l="19050" t="19050" r="23400" b="23400"/>
            <wp:docPr id="1" name="Image 0" descr="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png"/>
                    <pic:cNvPicPr/>
                  </pic:nvPicPr>
                  <pic:blipFill>
                    <a:blip r:embed="rId11" cstate="print"/>
                    <a:stretch>
                      <a:fillRect/>
                    </a:stretch>
                  </pic:blipFill>
                  <pic:spPr>
                    <a:xfrm>
                      <a:off x="0" y="0"/>
                      <a:ext cx="2034000" cy="2034000"/>
                    </a:xfrm>
                    <a:prstGeom prst="rect">
                      <a:avLst/>
                    </a:prstGeom>
                    <a:ln>
                      <a:solidFill>
                        <a:schemeClr val="bg1">
                          <a:lumMod val="50000"/>
                        </a:schemeClr>
                      </a:solidFill>
                    </a:ln>
                  </pic:spPr>
                </pic:pic>
              </a:graphicData>
            </a:graphic>
          </wp:inline>
        </w:drawing>
      </w:r>
      <w:r w:rsidR="001D2717">
        <w:rPr>
          <w:rFonts w:ascii="CMU Serif" w:hAnsi="CMU Serif" w:cs="CMU Serif"/>
          <w:noProof/>
          <w:lang w:val="fr-FR" w:eastAsia="fr-FR" w:bidi="ar-SA"/>
        </w:rPr>
        <w:drawing>
          <wp:inline distT="0" distB="0" distL="0" distR="0">
            <wp:extent cx="2032386" cy="2032386"/>
            <wp:effectExtent l="19050" t="19050" r="25014" b="25014"/>
            <wp:docPr id="4" name="Image 3" descr="roller_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_contour.jpg"/>
                    <pic:cNvPicPr/>
                  </pic:nvPicPr>
                  <pic:blipFill>
                    <a:blip r:embed="rId12" cstate="print"/>
                    <a:stretch>
                      <a:fillRect/>
                    </a:stretch>
                  </pic:blipFill>
                  <pic:spPr>
                    <a:xfrm>
                      <a:off x="0" y="0"/>
                      <a:ext cx="2033885" cy="2033885"/>
                    </a:xfrm>
                    <a:prstGeom prst="rect">
                      <a:avLst/>
                    </a:prstGeom>
                    <a:ln>
                      <a:solidFill>
                        <a:schemeClr val="bg1">
                          <a:lumMod val="50000"/>
                        </a:schemeClr>
                      </a:solidFill>
                    </a:ln>
                  </pic:spPr>
                </pic:pic>
              </a:graphicData>
            </a:graphic>
          </wp:inline>
        </w:drawing>
      </w:r>
    </w:p>
    <w:p w:rsidR="0015133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6D4504">
      <w:pPr>
        <w:pStyle w:val="Sansinterligne"/>
        <w:jc w:val="both"/>
        <w:rPr>
          <w:rFonts w:ascii="CMU Serif" w:hAnsi="CMU Serif" w:cs="CMU Serif"/>
          <w:lang w:val="fr-FR"/>
        </w:rPr>
      </w:pPr>
    </w:p>
    <w:p w:rsidR="00151335" w:rsidRDefault="00151335" w:rsidP="006D4504">
      <w:pPr>
        <w:pStyle w:val="Sansinterligne"/>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6D4504">
      <w:pPr>
        <w:pStyle w:val="Sansinterligne"/>
        <w:jc w:val="both"/>
        <w:rPr>
          <w:rFonts w:ascii="CMU Serif" w:hAnsi="CMU Serif" w:cs="CMU Serif"/>
          <w:lang w:val="fr-FR"/>
        </w:rPr>
      </w:pPr>
    </w:p>
    <w:p w:rsidR="00225813" w:rsidRDefault="00225813" w:rsidP="006D4504">
      <w:pPr>
        <w:pStyle w:val="Sansinterligne"/>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w:t>
      </w:r>
      <w:r w:rsidRPr="00225813">
        <w:rPr>
          <w:rFonts w:ascii="CMU Serif" w:hAnsi="CMU Serif" w:cs="CMU Serif"/>
          <w:lang w:val="fr-FR"/>
        </w:rPr>
        <w:lastRenderedPageBreak/>
        <w:t>si l’objet original était convexe, l’objet reconstitué est égal à l’original.</w:t>
      </w:r>
      <w:r w:rsidR="00B054B4">
        <w:rPr>
          <w:rFonts w:ascii="CMU Serif" w:hAnsi="CMU Serif" w:cs="CMU Serif"/>
          <w:lang w:val="fr-FR"/>
        </w:rPr>
        <w:t xml:space="preserve"> Cela nous assur</w:t>
      </w:r>
      <w:r w:rsidR="00140B36">
        <w:rPr>
          <w:rFonts w:ascii="CMU Serif" w:hAnsi="CMU Serif" w:cs="CMU Serif"/>
          <w:lang w:val="fr-FR"/>
        </w:rPr>
        <w:t>e donc que la méthode utilisée a un sens, et que</w:t>
      </w:r>
      <w:r w:rsidR="0048711C">
        <w:rPr>
          <w:rFonts w:ascii="CMU Serif" w:hAnsi="CMU Serif" w:cs="CMU Serif"/>
          <w:lang w:val="fr-FR"/>
        </w:rPr>
        <w:t>,</w:t>
      </w:r>
      <w:r w:rsidR="00140B36">
        <w:rPr>
          <w:rFonts w:ascii="CMU Serif" w:hAnsi="CMU Serif" w:cs="CMU Serif"/>
          <w:lang w:val="fr-FR"/>
        </w:rPr>
        <w:t xml:space="preserve"> dans le cas limite, </w:t>
      </w:r>
      <w:r w:rsidR="0048711C">
        <w:rPr>
          <w:rFonts w:ascii="CMU Serif" w:hAnsi="CMU Serif" w:cs="CMU Serif"/>
          <w:lang w:val="fr-FR"/>
        </w:rPr>
        <w:t>on retrouve un objet proche de l’original.</w:t>
      </w:r>
      <w:r w:rsidR="00E033D8">
        <w:rPr>
          <w:rFonts w:ascii="CMU Serif" w:hAnsi="CMU Serif" w:cs="CMU Serif"/>
          <w:lang w:val="fr-FR"/>
        </w:rPr>
        <w:t xml:space="preserve"> Le détail de la démonstration est fourni en annexe.</w:t>
      </w:r>
    </w:p>
    <w:p w:rsidR="00225813" w:rsidRDefault="00225813" w:rsidP="006D4504">
      <w:pPr>
        <w:pStyle w:val="Sansinterligne"/>
        <w:jc w:val="both"/>
        <w:rPr>
          <w:rFonts w:ascii="CMU Serif" w:hAnsi="CMU Serif" w:cs="CMU Serif"/>
          <w:lang w:val="fr-FR"/>
        </w:rPr>
      </w:pPr>
    </w:p>
    <w:p w:rsidR="00103753" w:rsidRDefault="00103753" w:rsidP="006D4504">
      <w:pPr>
        <w:pStyle w:val="Sansinterligne"/>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6D4504">
      <w:pPr>
        <w:pStyle w:val="Sansinterligne"/>
        <w:jc w:val="both"/>
        <w:rPr>
          <w:rFonts w:ascii="CMU Serif" w:hAnsi="CMU Serif" w:cs="CMU Serif"/>
          <w:lang w:val="fr-FR"/>
        </w:rPr>
      </w:pPr>
      <w:r>
        <w:rPr>
          <w:rFonts w:ascii="CMU Serif" w:hAnsi="CMU Serif" w:cs="CMU Serif"/>
          <w:lang w:val="fr-FR"/>
        </w:rPr>
        <w:t xml:space="preserve">Nous ne rentrerons pas </w:t>
      </w:r>
      <w:r w:rsidR="004E0793">
        <w:rPr>
          <w:rFonts w:ascii="CMU Serif" w:hAnsi="CMU Serif" w:cs="CMU Serif"/>
          <w:lang w:val="fr-FR"/>
        </w:rPr>
        <w:t xml:space="preserve">dans </w:t>
      </w:r>
      <w:r>
        <w:rPr>
          <w:rFonts w:ascii="CMU Serif" w:hAnsi="CMU Serif" w:cs="CMU Serif"/>
          <w:lang w:val="fr-FR"/>
        </w:rPr>
        <w:t>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p>
    <w:p w:rsidR="004E0793" w:rsidRDefault="004E0793" w:rsidP="006D4504">
      <w:pPr>
        <w:pStyle w:val="Sansinterligne"/>
        <w:jc w:val="both"/>
        <w:rPr>
          <w:rFonts w:ascii="CMU Serif" w:hAnsi="CMU Serif" w:cs="CMU Serif"/>
          <w:lang w:val="fr-FR"/>
        </w:rPr>
      </w:pPr>
    </w:p>
    <w:p w:rsidR="00187D96" w:rsidRPr="00F10E26" w:rsidRDefault="004E0793" w:rsidP="006D4504">
      <w:pPr>
        <w:pStyle w:val="Sansinterligne"/>
        <w:jc w:val="both"/>
        <w:rPr>
          <w:rFonts w:ascii="CMU Serif" w:hAnsi="CMU Serif" w:cs="CMU Serif"/>
          <w:lang w:val="fr-FR"/>
        </w:rPr>
      </w:pPr>
      <w:r>
        <w:rPr>
          <w:rFonts w:ascii="CMU Serif" w:hAnsi="CMU Serif" w:cs="CMU Serif"/>
          <w:lang w:val="fr-FR"/>
        </w:rPr>
        <w:t xml:space="preserve">A partir </w:t>
      </w:r>
      <w:r w:rsidR="00E6309E">
        <w:rPr>
          <w:rFonts w:ascii="CMU Serif" w:hAnsi="CMU Serif" w:cs="CMU Serif"/>
          <w:lang w:val="fr-FR"/>
        </w:rPr>
        <w:t xml:space="preserve">de cette modélisation, </w:t>
      </w:r>
      <w:r w:rsidR="003E63BA">
        <w:rPr>
          <w:rFonts w:ascii="CMU Serif" w:hAnsi="CMU Serif" w:cs="CMU Serif"/>
          <w:lang w:val="fr-FR"/>
        </w:rPr>
        <w:t>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w:t>
      </w:r>
      <w:r w:rsidR="006D1829">
        <w:rPr>
          <w:rFonts w:ascii="CMU Serif" w:hAnsi="CMU Serif" w:cs="CMU Serif"/>
          <w:lang w:val="fr-FR"/>
        </w:rPr>
        <w:t xml:space="preserve">nt </w:t>
      </w:r>
      <w:r w:rsidR="00235BAE">
        <w:rPr>
          <w:rFonts w:ascii="CMU Serif" w:hAnsi="CMU Serif" w:cs="CMU Serif"/>
          <w:lang w:val="fr-FR"/>
        </w:rPr>
        <w:t>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3F41A3" w:rsidRDefault="00DB17F5" w:rsidP="006D4504">
      <w:pPr>
        <w:pStyle w:val="Sansinterligne"/>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Nous obtenons donc un programme qui fonctionne en un temps raisonnable,</w:t>
      </w:r>
      <w:r w:rsidR="006D1829">
        <w:rPr>
          <w:rFonts w:ascii="CMU Serif" w:hAnsi="CMU Serif" w:cs="CMU Serif"/>
          <w:lang w:val="fr-FR"/>
        </w:rPr>
        <w:t xml:space="preserve"> et dont nous savons qu’il renverra un modèle proche de l’original,</w:t>
      </w:r>
      <w:r w:rsidR="00127CD7">
        <w:rPr>
          <w:rFonts w:ascii="CMU Serif" w:hAnsi="CMU Serif" w:cs="CMU Serif"/>
          <w:lang w:val="fr-FR"/>
        </w:rPr>
        <w:t xml:space="preserve"> mais qui n’est pas </w:t>
      </w:r>
      <w:r w:rsidR="00007AE4">
        <w:rPr>
          <w:rFonts w:ascii="CMU Serif" w:hAnsi="CMU Serif" w:cs="CMU Serif"/>
          <w:lang w:val="fr-FR"/>
        </w:rPr>
        <w:t>aussi efficace que ce qu’on avait espéré.</w:t>
      </w:r>
    </w:p>
    <w:p w:rsidR="00CE2A85" w:rsidRDefault="00CE2A85" w:rsidP="006D4504">
      <w:pPr>
        <w:pStyle w:val="Sansinterligne"/>
        <w:jc w:val="both"/>
        <w:rPr>
          <w:rFonts w:ascii="CMU Serif" w:hAnsi="CMU Serif" w:cs="CMU Serif"/>
          <w:lang w:val="fr-FR"/>
        </w:rPr>
      </w:pPr>
    </w:p>
    <w:p w:rsidR="00CE2A85" w:rsidRDefault="00CE2A85" w:rsidP="006D4504">
      <w:pPr>
        <w:pStyle w:val="Sansinterligne"/>
        <w:jc w:val="both"/>
        <w:rPr>
          <w:rFonts w:ascii="CMU Serif" w:hAnsi="CMU Serif" w:cs="CMU Serif"/>
          <w:lang w:val="fr-FR"/>
        </w:rPr>
      </w:pPr>
    </w:p>
    <w:p w:rsidR="00CE2A85" w:rsidRPr="002047C7" w:rsidRDefault="00CE2A85" w:rsidP="006D4504">
      <w:pPr>
        <w:pStyle w:val="Sansinterligne"/>
        <w:jc w:val="both"/>
        <w:rPr>
          <w:rFonts w:ascii="CMU Serif" w:hAnsi="CMU Serif" w:cs="CMU Serif"/>
          <w:lang w:val="fr-FR"/>
        </w:rPr>
      </w:pPr>
    </w:p>
    <w:p w:rsidR="00094C85" w:rsidRPr="002047C7" w:rsidRDefault="00E47B0D" w:rsidP="00CE2A85">
      <w:pPr>
        <w:pStyle w:val="Titre1"/>
        <w:rPr>
          <w:rFonts w:ascii="CMU Serif" w:hAnsi="CMU Serif" w:cs="CMU Serif"/>
          <w:lang w:val="fr-FR"/>
        </w:rPr>
      </w:pPr>
      <w:r w:rsidRPr="002047C7">
        <w:rPr>
          <w:rFonts w:ascii="CMU Serif" w:hAnsi="CMU Serif" w:cs="CMU Serif"/>
          <w:lang w:val="fr-FR"/>
        </w:rPr>
        <w:t>Bibliographie</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lastRenderedPageBreak/>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6D4504">
      <w:pPr>
        <w:pStyle w:val="Sansinterligne"/>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B50210" w:rsidP="00F10209">
      <w:pPr>
        <w:pStyle w:val="Sansinterligne"/>
        <w:jc w:val="both"/>
        <w:rPr>
          <w:rFonts w:ascii="CMU Serif" w:hAnsi="CMU Serif" w:cs="CMU Serif"/>
          <w:lang w:val="fr-FR"/>
        </w:rPr>
      </w:pPr>
      <w:hyperlink r:id="rId13" w:history="1">
        <w:r w:rsidR="00CE2A85" w:rsidRPr="00D3768A">
          <w:rPr>
            <w:rStyle w:val="Lienhypertexte"/>
            <w:rFonts w:ascii="CMU Serif" w:hAnsi="CMU Serif" w:cs="CMU Serif"/>
            <w:lang w:val="fr-FR"/>
          </w:rPr>
          <w:t>http://areeweb.polito.it/ricerca/cgvg/Articles/pami94.pdf</w:t>
        </w:r>
      </w:hyperlink>
    </w:p>
    <w:p w:rsidR="00CE2A85" w:rsidRDefault="00CE2A85" w:rsidP="00F10209">
      <w:pPr>
        <w:pStyle w:val="Sansinterligne"/>
        <w:jc w:val="both"/>
        <w:rPr>
          <w:rFonts w:ascii="CMU Serif" w:hAnsi="CMU Serif" w:cs="CMU Serif"/>
          <w:lang w:val="fr-FR"/>
        </w:rPr>
      </w:pPr>
    </w:p>
    <w:p w:rsidR="00CE2A85" w:rsidRDefault="00CE2A85" w:rsidP="00F10209">
      <w:pPr>
        <w:pStyle w:val="Sansinterligne"/>
        <w:jc w:val="both"/>
        <w:rPr>
          <w:rFonts w:ascii="CMU Serif" w:hAnsi="CMU Serif" w:cs="CMU Serif"/>
          <w:lang w:val="fr-FR"/>
        </w:rPr>
      </w:pPr>
    </w:p>
    <w:p w:rsidR="00FC1A40" w:rsidRPr="002047C7" w:rsidRDefault="00FC1A40" w:rsidP="00AA0254">
      <w:pPr>
        <w:pStyle w:val="Titre1"/>
      </w:pPr>
      <w:r>
        <w:rPr>
          <w:lang w:val="fr-FR"/>
        </w:rPr>
        <w:t>Annexe</w:t>
      </w:r>
    </w:p>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51828"/>
    <w:rsid w:val="00070426"/>
    <w:rsid w:val="000737F4"/>
    <w:rsid w:val="00074EC9"/>
    <w:rsid w:val="000835DF"/>
    <w:rsid w:val="000862A6"/>
    <w:rsid w:val="00094C85"/>
    <w:rsid w:val="000A3FB0"/>
    <w:rsid w:val="000A6E01"/>
    <w:rsid w:val="000C1C56"/>
    <w:rsid w:val="000D20A2"/>
    <w:rsid w:val="000E34C2"/>
    <w:rsid w:val="00103753"/>
    <w:rsid w:val="00126FB5"/>
    <w:rsid w:val="00127CD7"/>
    <w:rsid w:val="00140B36"/>
    <w:rsid w:val="00140E7B"/>
    <w:rsid w:val="0014132D"/>
    <w:rsid w:val="00142061"/>
    <w:rsid w:val="00151335"/>
    <w:rsid w:val="00152FD8"/>
    <w:rsid w:val="00153C9C"/>
    <w:rsid w:val="001578E5"/>
    <w:rsid w:val="00175AC9"/>
    <w:rsid w:val="00176963"/>
    <w:rsid w:val="00182BC5"/>
    <w:rsid w:val="00187D96"/>
    <w:rsid w:val="00193821"/>
    <w:rsid w:val="001970CA"/>
    <w:rsid w:val="001A47B2"/>
    <w:rsid w:val="001B0AE6"/>
    <w:rsid w:val="001B113E"/>
    <w:rsid w:val="001C426F"/>
    <w:rsid w:val="001C6694"/>
    <w:rsid w:val="001D2717"/>
    <w:rsid w:val="001E26E5"/>
    <w:rsid w:val="002047C7"/>
    <w:rsid w:val="00225813"/>
    <w:rsid w:val="00235BAE"/>
    <w:rsid w:val="00251F3B"/>
    <w:rsid w:val="00256545"/>
    <w:rsid w:val="002722A6"/>
    <w:rsid w:val="0029105A"/>
    <w:rsid w:val="00291D59"/>
    <w:rsid w:val="002929B6"/>
    <w:rsid w:val="002B2FF9"/>
    <w:rsid w:val="002B7369"/>
    <w:rsid w:val="002C2D07"/>
    <w:rsid w:val="002C67F8"/>
    <w:rsid w:val="002D483F"/>
    <w:rsid w:val="002F077E"/>
    <w:rsid w:val="002F3D65"/>
    <w:rsid w:val="002F472B"/>
    <w:rsid w:val="00320318"/>
    <w:rsid w:val="00347908"/>
    <w:rsid w:val="0035461A"/>
    <w:rsid w:val="00354F4F"/>
    <w:rsid w:val="003570AF"/>
    <w:rsid w:val="00363106"/>
    <w:rsid w:val="00380AC5"/>
    <w:rsid w:val="00385AE3"/>
    <w:rsid w:val="00391878"/>
    <w:rsid w:val="00394ED9"/>
    <w:rsid w:val="003B60A2"/>
    <w:rsid w:val="003E63BA"/>
    <w:rsid w:val="003F031D"/>
    <w:rsid w:val="003F41A3"/>
    <w:rsid w:val="004167BD"/>
    <w:rsid w:val="0042301D"/>
    <w:rsid w:val="004273EA"/>
    <w:rsid w:val="004512BE"/>
    <w:rsid w:val="00466D24"/>
    <w:rsid w:val="0048711C"/>
    <w:rsid w:val="0049237E"/>
    <w:rsid w:val="004A5AA8"/>
    <w:rsid w:val="004B6E12"/>
    <w:rsid w:val="004D3184"/>
    <w:rsid w:val="004D5ACC"/>
    <w:rsid w:val="004E0793"/>
    <w:rsid w:val="004F1E2B"/>
    <w:rsid w:val="004F31EE"/>
    <w:rsid w:val="004F638E"/>
    <w:rsid w:val="00506637"/>
    <w:rsid w:val="00510025"/>
    <w:rsid w:val="00521EC4"/>
    <w:rsid w:val="00522078"/>
    <w:rsid w:val="005278F8"/>
    <w:rsid w:val="00530688"/>
    <w:rsid w:val="00540DCF"/>
    <w:rsid w:val="00541299"/>
    <w:rsid w:val="005462CD"/>
    <w:rsid w:val="00551843"/>
    <w:rsid w:val="0056368B"/>
    <w:rsid w:val="005645CB"/>
    <w:rsid w:val="005817D9"/>
    <w:rsid w:val="0058337B"/>
    <w:rsid w:val="00594C97"/>
    <w:rsid w:val="005A5322"/>
    <w:rsid w:val="005C4FC1"/>
    <w:rsid w:val="005D09AD"/>
    <w:rsid w:val="005E0C63"/>
    <w:rsid w:val="005E1E42"/>
    <w:rsid w:val="005E6990"/>
    <w:rsid w:val="00603E5E"/>
    <w:rsid w:val="00617891"/>
    <w:rsid w:val="0062497E"/>
    <w:rsid w:val="00625179"/>
    <w:rsid w:val="00625333"/>
    <w:rsid w:val="00640847"/>
    <w:rsid w:val="006433EE"/>
    <w:rsid w:val="006467A9"/>
    <w:rsid w:val="006561B1"/>
    <w:rsid w:val="006634EE"/>
    <w:rsid w:val="00672D13"/>
    <w:rsid w:val="00684D51"/>
    <w:rsid w:val="00686485"/>
    <w:rsid w:val="006C1CB0"/>
    <w:rsid w:val="006C6BCF"/>
    <w:rsid w:val="006D1829"/>
    <w:rsid w:val="006D4504"/>
    <w:rsid w:val="006D5F12"/>
    <w:rsid w:val="006F1B02"/>
    <w:rsid w:val="007278E0"/>
    <w:rsid w:val="00730098"/>
    <w:rsid w:val="00751E0B"/>
    <w:rsid w:val="00761A3F"/>
    <w:rsid w:val="00762F06"/>
    <w:rsid w:val="007709E5"/>
    <w:rsid w:val="00777FF7"/>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6567B"/>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41157"/>
    <w:rsid w:val="009651B9"/>
    <w:rsid w:val="00994B46"/>
    <w:rsid w:val="00997E79"/>
    <w:rsid w:val="009B10E4"/>
    <w:rsid w:val="009C58F4"/>
    <w:rsid w:val="009D376C"/>
    <w:rsid w:val="009E21AF"/>
    <w:rsid w:val="009F1270"/>
    <w:rsid w:val="00A02514"/>
    <w:rsid w:val="00A3768C"/>
    <w:rsid w:val="00A6188C"/>
    <w:rsid w:val="00A620DA"/>
    <w:rsid w:val="00A801B3"/>
    <w:rsid w:val="00A84DDF"/>
    <w:rsid w:val="00A92E18"/>
    <w:rsid w:val="00AA0254"/>
    <w:rsid w:val="00AA2451"/>
    <w:rsid w:val="00AB0C40"/>
    <w:rsid w:val="00AB3E59"/>
    <w:rsid w:val="00AB7799"/>
    <w:rsid w:val="00AC2CA7"/>
    <w:rsid w:val="00AC3CC2"/>
    <w:rsid w:val="00AD2A64"/>
    <w:rsid w:val="00AF0220"/>
    <w:rsid w:val="00AF3ECF"/>
    <w:rsid w:val="00B054B4"/>
    <w:rsid w:val="00B34EFD"/>
    <w:rsid w:val="00B50210"/>
    <w:rsid w:val="00B50EE5"/>
    <w:rsid w:val="00B55C39"/>
    <w:rsid w:val="00B6137D"/>
    <w:rsid w:val="00B728D0"/>
    <w:rsid w:val="00B86199"/>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E2A85"/>
    <w:rsid w:val="00CF2A17"/>
    <w:rsid w:val="00D256C1"/>
    <w:rsid w:val="00D30036"/>
    <w:rsid w:val="00D45993"/>
    <w:rsid w:val="00D47B79"/>
    <w:rsid w:val="00D60D13"/>
    <w:rsid w:val="00D62288"/>
    <w:rsid w:val="00D6564C"/>
    <w:rsid w:val="00D73661"/>
    <w:rsid w:val="00DB17F5"/>
    <w:rsid w:val="00DD19A5"/>
    <w:rsid w:val="00DD3E81"/>
    <w:rsid w:val="00E00CE6"/>
    <w:rsid w:val="00E0199E"/>
    <w:rsid w:val="00E033D8"/>
    <w:rsid w:val="00E262C9"/>
    <w:rsid w:val="00E26CEF"/>
    <w:rsid w:val="00E348C4"/>
    <w:rsid w:val="00E40143"/>
    <w:rsid w:val="00E42084"/>
    <w:rsid w:val="00E47B0D"/>
    <w:rsid w:val="00E6309E"/>
    <w:rsid w:val="00E64F77"/>
    <w:rsid w:val="00E6732E"/>
    <w:rsid w:val="00EA7371"/>
    <w:rsid w:val="00EC3CC6"/>
    <w:rsid w:val="00EC63F2"/>
    <w:rsid w:val="00ED6FB9"/>
    <w:rsid w:val="00EF009C"/>
    <w:rsid w:val="00EF2172"/>
    <w:rsid w:val="00F10209"/>
    <w:rsid w:val="00F10E26"/>
    <w:rsid w:val="00F13789"/>
    <w:rsid w:val="00F23368"/>
    <w:rsid w:val="00F25E1B"/>
    <w:rsid w:val="00F45797"/>
    <w:rsid w:val="00F55E75"/>
    <w:rsid w:val="00F60FF5"/>
    <w:rsid w:val="00F6540D"/>
    <w:rsid w:val="00F66990"/>
    <w:rsid w:val="00F7278E"/>
    <w:rsid w:val="00F72C05"/>
    <w:rsid w:val="00F82C53"/>
    <w:rsid w:val="00F83356"/>
    <w:rsid w:val="00FA171F"/>
    <w:rsid w:val="00FA54A1"/>
    <w:rsid w:val="00FA73C2"/>
    <w:rsid w:val="00FC1A40"/>
    <w:rsid w:val="00FD4580"/>
    <w:rsid w:val="00FE0C26"/>
    <w:rsid w:val="00FE48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 w:type="character" w:styleId="Lienhypertexte">
    <w:name w:val="Hyperlink"/>
    <w:basedOn w:val="Policepardfaut"/>
    <w:uiPriority w:val="99"/>
    <w:unhideWhenUsed/>
    <w:rsid w:val="00CE2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reeweb.polito.it/ricerca/cgvg/Articles/pami9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4</Pages>
  <Words>951</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35</cp:revision>
  <cp:lastPrinted>2017-06-12T15:30:00Z</cp:lastPrinted>
  <dcterms:created xsi:type="dcterms:W3CDTF">2017-06-07T12:02:00Z</dcterms:created>
  <dcterms:modified xsi:type="dcterms:W3CDTF">2017-06-12T18:52:00Z</dcterms:modified>
</cp:coreProperties>
</file>