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B2545"/>
          <w:sz w:val="46"/>
        </w:rPr>
        <w:t>ALGORITHM &amp; VALUE CALCULATION GUIDE</w:t>
      </w:r>
    </w:p>
    <w:p>
      <w:pPr>
        <w:spacing w:after="320"/>
      </w:pPr>
      <w:r>
        <w:rPr>
          <w:rFonts w:ascii="Calibri" w:hAnsi="Calibri"/>
          <w:color w:val="444444"/>
          <w:sz w:val="28"/>
        </w:rPr>
        <w:t>Energy Supply Chain Risk, Procurement, and SPR Decision System</w:t>
      </w:r>
    </w:p>
    <w:p>
      <w:pPr>
        <w:spacing w:after="40"/>
      </w:pPr>
      <w:r>
        <w:rPr>
          <w:rFonts w:ascii="Calibri" w:hAnsi="Calibri"/>
          <w:b/>
          <w:color w:val="000000"/>
          <w:sz w:val="20"/>
        </w:rPr>
        <w:t xml:space="preserve">Scope: </w:t>
      </w:r>
      <w:r>
        <w:rPr>
          <w:rFonts w:ascii="Calibri" w:hAnsi="Calibri"/>
          <w:color w:val="000000"/>
          <w:sz w:val="20"/>
        </w:rPr>
        <w:t>Implemented calculation logic in the backend and API</w:t>
      </w:r>
    </w:p>
    <w:p>
      <w:pPr>
        <w:spacing w:after="40"/>
      </w:pPr>
      <w:r>
        <w:rPr>
          <w:rFonts w:ascii="Calibri" w:hAnsi="Calibri"/>
          <w:b/>
          <w:color w:val="000000"/>
          <w:sz w:val="20"/>
        </w:rPr>
        <w:t xml:space="preserve">Prepared: </w:t>
      </w:r>
      <w:r>
        <w:rPr>
          <w:rFonts w:ascii="Calibri" w:hAnsi="Calibri"/>
          <w:color w:val="000000"/>
          <w:sz w:val="20"/>
        </w:rPr>
        <w:t>14 July 2026</w:t>
      </w:r>
    </w:p>
    <w:p>
      <w:pPr>
        <w:spacing w:after="40"/>
      </w:pPr>
      <w:r>
        <w:rPr>
          <w:rFonts w:ascii="Calibri" w:hAnsi="Calibri"/>
          <w:b/>
          <w:color w:val="000000"/>
          <w:sz w:val="20"/>
        </w:rPr>
        <w:t xml:space="preserve">Audience: </w:t>
      </w:r>
      <w:r>
        <w:rPr>
          <w:rFonts w:ascii="Calibri" w:hAnsi="Calibri"/>
          <w:color w:val="000000"/>
          <w:sz w:val="20"/>
        </w:rPr>
        <w:t>Product, operations, data, and engineering stakeholders</w:t>
      </w:r>
    </w:p>
    <w:p>
      <w:pPr>
        <w:spacing w:after="40"/>
      </w:pPr>
      <w:r>
        <w:rPr>
          <w:rFonts w:ascii="Calibri" w:hAnsi="Calibri"/>
          <w:b/>
          <w:color w:val="000000"/>
          <w:sz w:val="20"/>
        </w:rPr>
        <w:t xml:space="preserve">Method: </w:t>
      </w:r>
      <w:r>
        <w:rPr>
          <w:rFonts w:ascii="Calibri" w:hAnsi="Calibri"/>
          <w:color w:val="000000"/>
          <w:sz w:val="20"/>
        </w:rPr>
        <w:t>Code-derived explanation; formulas reflect the current repository implementation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Key point: the system combines model-assessed geopolitical signals with deterministic, bounded calculations. Values described as risk or confidence are indicators for prioritisation, not verified probabilities or price forecasts.</w:t>
            </w:r>
          </w:p>
        </w:tc>
      </w:tr>
    </w:tbl>
    <w:p>
      <w:pPr>
        <w:pStyle w:val="Heading1"/>
        <w:keepNext/>
      </w:pPr>
      <w:r>
        <w:t>Executive Summary</w:t>
      </w:r>
    </w:p>
    <w:p>
      <w:pPr>
        <w:spacing w:before="0" w:after="120" w:line="264" w:lineRule="auto"/>
      </w:pPr>
      <w:r>
        <w:rPr>
          <w:rFonts w:ascii="Calibri" w:hAnsi="Calibri"/>
          <w:color w:val="000000"/>
          <w:sz w:val="22"/>
        </w:rPr>
        <w:t>The application calculates decision-support values in four connected layers. The Modeler layer produces the Supply Disruption Index (SDI) and regional risk matrices. The Fixer layer ranks substitute procurement routes by cost, speed, risk, and port congestion. The SPR layer tests whether India's strategic reserve bridges the time until alternative cargoes arrive. The ingestion and backtest layers derive congestion and assess whether an SDI alert preceded a market breakout.</w:t>
      </w:r>
    </w:p>
    <w:tbl>
      <w:tblPr>
        <w:tblStyle w:val="TableGrid"/>
        <w:tblW w:type="dxa" w:w="9360"/>
        <w:jc w:val="left"/>
        <w:tblLayout w:type="fixed"/>
        <w:tblLook w:firstColumn="1" w:firstRow="1" w:lastColumn="0" w:lastRow="0" w:noHBand="0" w:noVBand="1" w:val="04A0"/>
        <w:tblInd w:w="120" w:type="dxa"/>
      </w:tblPr>
      <w:tblGrid>
        <w:gridCol w:w="1550"/>
        <w:gridCol w:w="2050"/>
        <w:gridCol w:w="2300"/>
        <w:gridCol w:w="3460"/>
      </w:tblGrid>
      <w:tr>
        <w:tc>
          <w:tcPr>
            <w:tcW w:type="dxa" w:w="1550"/>
            <w:tcMar>
              <w:top w:w="80" w:type="dxa"/>
              <w:start w:w="120" w:type="dxa"/>
              <w:bottom w:w="80" w:type="dxa"/>
              <w:end w:w="120" w:type="dxa"/>
            </w:tcMar>
            <w:vAlign w:val="center"/>
            <w:shd w:fill="E8EEF5"/>
          </w:tcPr>
          <w:p>
            <w:pPr>
              <w:jc w:val="left"/>
            </w:pPr>
            <w:r>
              <w:rPr>
                <w:rFonts w:ascii="Calibri" w:hAnsi="Calibri"/>
                <w:b/>
                <w:color w:val="1F4D78"/>
                <w:sz w:val="18"/>
              </w:rPr>
              <w:t>Layer</w:t>
            </w:r>
          </w:p>
        </w:tc>
        <w:tc>
          <w:tcPr>
            <w:tcW w:type="dxa" w:w="2050"/>
            <w:tcMar>
              <w:top w:w="80" w:type="dxa"/>
              <w:start w:w="120" w:type="dxa"/>
              <w:bottom w:w="80" w:type="dxa"/>
              <w:end w:w="120" w:type="dxa"/>
            </w:tcMar>
            <w:vAlign w:val="center"/>
            <w:shd w:fill="E8EEF5"/>
          </w:tcPr>
          <w:p>
            <w:pPr>
              <w:jc w:val="left"/>
            </w:pPr>
            <w:r>
              <w:rPr>
                <w:rFonts w:ascii="Calibri" w:hAnsi="Calibri"/>
                <w:b/>
                <w:color w:val="1F4D78"/>
                <w:sz w:val="18"/>
              </w:rPr>
              <w:t>Main values</w:t>
            </w:r>
          </w:p>
        </w:tc>
        <w:tc>
          <w:tcPr>
            <w:tcW w:type="dxa" w:w="2300"/>
            <w:tcMar>
              <w:top w:w="80" w:type="dxa"/>
              <w:start w:w="120" w:type="dxa"/>
              <w:bottom w:w="80" w:type="dxa"/>
              <w:end w:w="120" w:type="dxa"/>
            </w:tcMar>
            <w:vAlign w:val="center"/>
            <w:shd w:fill="E8EEF5"/>
          </w:tcPr>
          <w:p>
            <w:pPr>
              <w:jc w:val="left"/>
            </w:pPr>
            <w:r>
              <w:rPr>
                <w:rFonts w:ascii="Calibri" w:hAnsi="Calibri"/>
                <w:b/>
                <w:color w:val="1F4D78"/>
                <w:sz w:val="18"/>
              </w:rPr>
              <w:t>Core technique</w:t>
            </w:r>
          </w:p>
        </w:tc>
        <w:tc>
          <w:tcPr>
            <w:tcW w:type="dxa" w:w="3460"/>
            <w:tcMar>
              <w:top w:w="80" w:type="dxa"/>
              <w:start w:w="120" w:type="dxa"/>
              <w:bottom w:w="80" w:type="dxa"/>
              <w:end w:w="120" w:type="dxa"/>
            </w:tcMar>
            <w:vAlign w:val="center"/>
            <w:shd w:fill="E8EEF5"/>
          </w:tcPr>
          <w:p>
            <w:pPr>
              <w:jc w:val="left"/>
            </w:pPr>
            <w:r>
              <w:rPr>
                <w:rFonts w:ascii="Calibri" w:hAnsi="Calibri"/>
                <w:b/>
                <w:color w:val="1F4D78"/>
                <w:sz w:val="18"/>
              </w:rPr>
              <w:t>Why it fits</w:t>
            </w:r>
          </w:p>
        </w:tc>
      </w:tr>
      <w:tr>
        <w:tc>
          <w:tcPr>
            <w:tcW w:type="dxa" w:w="1550"/>
          </w:tcPr>
          <w:p>
            <w:r>
              <w:rPr>
                <w:rFonts w:ascii="Calibri" w:hAnsi="Calibri"/>
                <w:color w:val="000000"/>
                <w:sz w:val="18"/>
              </w:rPr>
              <w:t>Modeler</w:t>
            </w:r>
          </w:p>
        </w:tc>
        <w:tc>
          <w:tcPr>
            <w:tcW w:type="dxa" w:w="2050"/>
          </w:tcPr>
          <w:p>
            <w:r>
              <w:rPr>
                <w:rFonts w:ascii="Calibri" w:hAnsi="Calibri"/>
                <w:color w:val="000000"/>
                <w:sz w:val="18"/>
              </w:rPr>
              <w:t>SDI, risk bands, price impact</w:t>
            </w:r>
          </w:p>
        </w:tc>
        <w:tc>
          <w:tcPr>
            <w:tcW w:type="dxa" w:w="2300"/>
          </w:tcPr>
          <w:p>
            <w:r>
              <w:rPr>
                <w:rFonts w:ascii="Calibri" w:hAnsi="Calibri"/>
                <w:color w:val="000000"/>
                <w:sz w:val="18"/>
              </w:rPr>
              <w:t>Weighted composite; max-event aggregation; exponential decay</w:t>
            </w:r>
          </w:p>
        </w:tc>
        <w:tc>
          <w:tcPr>
            <w:tcW w:type="dxa" w:w="3460"/>
          </w:tcPr>
          <w:p>
            <w:r>
              <w:rPr>
                <w:rFonts w:ascii="Calibri" w:hAnsi="Calibri"/>
                <w:color w:val="000000"/>
                <w:sz w:val="18"/>
              </w:rPr>
              <w:t>Combines heterogeneous signals while preventing repeated news from inflating risk.</w:t>
            </w:r>
          </w:p>
        </w:tc>
      </w:tr>
      <w:tr>
        <w:tc>
          <w:tcPr>
            <w:tcW w:type="dxa" w:w="1550"/>
          </w:tcPr>
          <w:p>
            <w:r>
              <w:rPr>
                <w:rFonts w:ascii="Calibri" w:hAnsi="Calibri"/>
                <w:color w:val="000000"/>
                <w:sz w:val="18"/>
              </w:rPr>
              <w:t>Fixer</w:t>
            </w:r>
          </w:p>
        </w:tc>
        <w:tc>
          <w:tcPr>
            <w:tcW w:type="dxa" w:w="2050"/>
          </w:tcPr>
          <w:p>
            <w:r>
              <w:rPr>
                <w:rFonts w:ascii="Calibri" w:hAnsi="Calibri"/>
                <w:color w:val="000000"/>
                <w:sz w:val="18"/>
              </w:rPr>
              <w:t>Landed cost, lead time, route score</w:t>
            </w:r>
          </w:p>
        </w:tc>
        <w:tc>
          <w:tcPr>
            <w:tcW w:type="dxa" w:w="2300"/>
          </w:tcPr>
          <w:p>
            <w:r>
              <w:rPr>
                <w:rFonts w:ascii="Calibri" w:hAnsi="Calibri"/>
                <w:color w:val="000000"/>
                <w:sz w:val="18"/>
              </w:rPr>
              <w:t>Sea-route distance, normalized weighted score</w:t>
            </w:r>
          </w:p>
        </w:tc>
        <w:tc>
          <w:tcPr>
            <w:tcW w:type="dxa" w:w="3460"/>
          </w:tcPr>
          <w:p>
            <w:r>
              <w:rPr>
                <w:rFonts w:ascii="Calibri" w:hAnsi="Calibri"/>
                <w:color w:val="000000"/>
                <w:sz w:val="18"/>
              </w:rPr>
              <w:t>Makes alternatives comparable despite different units.</w:t>
            </w:r>
          </w:p>
        </w:tc>
      </w:tr>
      <w:tr>
        <w:tc>
          <w:tcPr>
            <w:tcW w:type="dxa" w:w="1550"/>
          </w:tcPr>
          <w:p>
            <w:r>
              <w:rPr>
                <w:rFonts w:ascii="Calibri" w:hAnsi="Calibri"/>
                <w:color w:val="000000"/>
                <w:sz w:val="18"/>
              </w:rPr>
              <w:t>SPR</w:t>
            </w:r>
          </w:p>
        </w:tc>
        <w:tc>
          <w:tcPr>
            <w:tcW w:type="dxa" w:w="2050"/>
          </w:tcPr>
          <w:p>
            <w:r>
              <w:rPr>
                <w:rFonts w:ascii="Calibri" w:hAnsi="Calibri"/>
                <w:color w:val="000000"/>
                <w:sz w:val="18"/>
              </w:rPr>
              <w:t>Survival days, gaps, GDP/inflation effects</w:t>
            </w:r>
          </w:p>
        </w:tc>
        <w:tc>
          <w:tcPr>
            <w:tcW w:type="dxa" w:w="2300"/>
          </w:tcPr>
          <w:p>
            <w:r>
              <w:rPr>
                <w:rFonts w:ascii="Calibri" w:hAnsi="Calibri"/>
                <w:color w:val="000000"/>
                <w:sz w:val="18"/>
              </w:rPr>
              <w:t>Stock-flow simulation and linear scenario math</w:t>
            </w:r>
          </w:p>
        </w:tc>
        <w:tc>
          <w:tcPr>
            <w:tcW w:type="dxa" w:w="3460"/>
          </w:tcPr>
          <w:p>
            <w:r>
              <w:rPr>
                <w:rFonts w:ascii="Calibri" w:hAnsi="Calibri"/>
                <w:color w:val="000000"/>
                <w:sz w:val="18"/>
              </w:rPr>
              <w:t>Directly maps a supply shortfall to reserve coverage.</w:t>
            </w:r>
          </w:p>
        </w:tc>
      </w:tr>
      <w:tr>
        <w:tc>
          <w:tcPr>
            <w:tcW w:type="dxa" w:w="1550"/>
          </w:tcPr>
          <w:p>
            <w:r>
              <w:rPr>
                <w:rFonts w:ascii="Calibri" w:hAnsi="Calibri"/>
                <w:color w:val="000000"/>
                <w:sz w:val="18"/>
              </w:rPr>
              <w:t>PortWatch / backtest</w:t>
            </w:r>
          </w:p>
        </w:tc>
        <w:tc>
          <w:tcPr>
            <w:tcW w:type="dxa" w:w="2050"/>
          </w:tcPr>
          <w:p>
            <w:r>
              <w:rPr>
                <w:rFonts w:ascii="Calibri" w:hAnsi="Calibri"/>
                <w:color w:val="000000"/>
                <w:sz w:val="18"/>
              </w:rPr>
              <w:t>Congestion, lead time</w:t>
            </w:r>
          </w:p>
        </w:tc>
        <w:tc>
          <w:tcPr>
            <w:tcW w:type="dxa" w:w="2300"/>
          </w:tcPr>
          <w:p>
            <w:r>
              <w:rPr>
                <w:rFonts w:ascii="Calibri" w:hAnsi="Calibri"/>
                <w:color w:val="000000"/>
                <w:sz w:val="18"/>
              </w:rPr>
              <w:t>Trailing averages, rolling statistics, threshold crossing</w:t>
            </w:r>
          </w:p>
        </w:tc>
        <w:tc>
          <w:tcPr>
            <w:tcW w:type="dxa" w:w="3460"/>
          </w:tcPr>
          <w:p>
            <w:r>
              <w:rPr>
                <w:rFonts w:ascii="Calibri" w:hAnsi="Calibri"/>
                <w:color w:val="000000"/>
                <w:sz w:val="18"/>
              </w:rPr>
              <w:t>Detects changes relative to each asset's own recent history.</w:t>
            </w:r>
          </w:p>
        </w:tc>
      </w:tr>
    </w:tbl>
    <w:p>
      <w:pPr>
        <w:spacing w:after="20"/>
      </w:pPr>
    </w:p>
    <w:p>
      <w:pPr>
        <w:pStyle w:val="Heading1"/>
        <w:keepNext/>
      </w:pPr>
      <w:r>
        <w:t>Reading the Formulas</w:t>
      </w:r>
    </w:p>
    <w:p>
      <w:pPr>
        <w:spacing w:before="0" w:after="120" w:line="264" w:lineRule="auto"/>
      </w:pPr>
      <w:r>
        <w:rPr>
          <w:rFonts w:ascii="Calibri" w:hAnsi="Calibri"/>
          <w:color w:val="000000"/>
          <w:sz w:val="22"/>
        </w:rPr>
        <w:t>Unless noted otherwise, risk components are normalized to the closed interval [0, 1]. A clamp limits a value to that range before it contributes to a score. Dashboard-facing scores are commonly multiplied by 100, then rounded. Several inputs are configurable with environment variables; the defaults documented here are the repository defaults.</w:t>
      </w:r>
    </w:p>
    <w:p>
      <w:pPr>
        <w:pStyle w:val="ListBullet"/>
        <w:spacing w:after="80" w:line="264" w:lineRule="auto"/>
      </w:pPr>
      <w:r>
        <w:rPr>
          <w:rFonts w:ascii="Calibri" w:hAnsi="Calibri"/>
          <w:color w:val="000000"/>
          <w:sz w:val="22"/>
        </w:rPr>
        <w:t>“Baseline” is an intentional neutral or minimum value, not an observed event. It prevents unobserved areas from looking risk-free.</w:t>
      </w:r>
    </w:p>
    <w:p>
      <w:pPr>
        <w:pStyle w:val="ListBullet"/>
        <w:spacing w:after="80" w:line="264" w:lineRule="auto"/>
      </w:pPr>
      <w:r>
        <w:rPr>
          <w:rFonts w:ascii="Calibri" w:hAnsi="Calibri"/>
          <w:color w:val="000000"/>
          <w:sz w:val="22"/>
        </w:rPr>
        <w:t>“Max aggregation” keeps the most severe active signal instead of adding headlines together. It is used to avoid duplicated reporting becoming artificial severity.</w:t>
      </w:r>
    </w:p>
    <w:p>
      <w:pPr>
        <w:pStyle w:val="ListBullet"/>
        <w:spacing w:after="80" w:line="264" w:lineRule="auto"/>
      </w:pPr>
      <w:r>
        <w:rPr>
          <w:rFonts w:ascii="Calibri" w:hAnsi="Calibri"/>
          <w:color w:val="000000"/>
          <w:sz w:val="22"/>
        </w:rPr>
        <w:t>Missing data is generally surfaced with a status flag and excluded from the composite rather than imputed as disruption.</w:t>
      </w:r>
    </w:p>
    <w:p>
      <w:r>
        <w:br w:type="page"/>
      </w:r>
    </w:p>
    <w:p>
      <w:pPr>
        <w:pStyle w:val="Heading1"/>
        <w:keepNext/>
      </w:pPr>
      <w:r>
        <w:t>1. Supply Disruption Index (SDI)</w:t>
      </w:r>
    </w:p>
    <w:p>
      <w:pPr>
        <w:spacing w:before="0" w:after="120" w:line="264" w:lineRule="auto"/>
      </w:pPr>
      <w:r>
        <w:rPr>
          <w:rFonts w:ascii="Calibri" w:hAnsi="Calibri"/>
          <w:color w:val="000000"/>
          <w:sz w:val="22"/>
        </w:rPr>
        <w:t>The SDI is the headline 0–100 disruption score. It is a weighted linear composite of geopolitical, vessel, oil-price, and freight signals.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SDI = 100 × [0.40·P_risk + 0.25·ΔD_vessel + 0.15·ΔP_price + 0.20·ΔP_freight]</w:t>
            </w:r>
          </w:p>
        </w:tc>
      </w:tr>
    </w:tbl>
    <w:tbl>
      <w:tblPr>
        <w:tblStyle w:val="TableGrid"/>
        <w:tblW w:type="dxa" w:w="9360"/>
        <w:jc w:val="left"/>
        <w:tblLayout w:type="fixed"/>
        <w:tblLook w:firstColumn="1" w:firstRow="1" w:lastColumn="0" w:lastRow="0" w:noHBand="0" w:noVBand="1" w:val="04A0"/>
        <w:tblInd w:w="120" w:type="dxa"/>
      </w:tblPr>
      <w:tblGrid>
        <w:gridCol w:w="1350"/>
        <w:gridCol w:w="1750"/>
        <w:gridCol w:w="3000"/>
        <w:gridCol w:w="3260"/>
      </w:tblGrid>
      <w:tr>
        <w:tc>
          <w:tcPr>
            <w:tcW w:type="dxa" w:w="1350"/>
            <w:tcMar>
              <w:top w:w="80" w:type="dxa"/>
              <w:start w:w="120" w:type="dxa"/>
              <w:bottom w:w="80" w:type="dxa"/>
              <w:end w:w="120" w:type="dxa"/>
            </w:tcMar>
            <w:vAlign w:val="center"/>
            <w:shd w:fill="E8EEF5"/>
          </w:tcPr>
          <w:p>
            <w:pPr>
              <w:jc w:val="left"/>
            </w:pPr>
            <w:r>
              <w:rPr>
                <w:rFonts w:ascii="Calibri" w:hAnsi="Calibri"/>
                <w:b/>
                <w:color w:val="1F4D78"/>
                <w:sz w:val="18"/>
              </w:rPr>
              <w:t>Term</w:t>
            </w:r>
          </w:p>
        </w:tc>
        <w:tc>
          <w:tcPr>
            <w:tcW w:type="dxa" w:w="1750"/>
            <w:tcMar>
              <w:top w:w="80" w:type="dxa"/>
              <w:start w:w="120" w:type="dxa"/>
              <w:bottom w:w="80" w:type="dxa"/>
              <w:end w:w="120" w:type="dxa"/>
            </w:tcMar>
            <w:vAlign w:val="center"/>
            <w:shd w:fill="E8EEF5"/>
          </w:tcPr>
          <w:p>
            <w:pPr>
              <w:jc w:val="left"/>
            </w:pPr>
            <w:r>
              <w:rPr>
                <w:rFonts w:ascii="Calibri" w:hAnsi="Calibri"/>
                <w:b/>
                <w:color w:val="1F4D78"/>
                <w:sz w:val="18"/>
              </w:rPr>
              <w:t>Value calculated</w:t>
            </w:r>
          </w:p>
        </w:tc>
        <w:tc>
          <w:tcPr>
            <w:tcW w:type="dxa" w:w="3000"/>
            <w:tcMar>
              <w:top w:w="80" w:type="dxa"/>
              <w:start w:w="120" w:type="dxa"/>
              <w:bottom w:w="80" w:type="dxa"/>
              <w:end w:w="120" w:type="dxa"/>
            </w:tcMar>
            <w:vAlign w:val="center"/>
            <w:shd w:fill="E8EEF5"/>
          </w:tcPr>
          <w:p>
            <w:pPr>
              <w:jc w:val="left"/>
            </w:pPr>
            <w:r>
              <w:rPr>
                <w:rFonts w:ascii="Calibri" w:hAnsi="Calibri"/>
                <w:b/>
                <w:color w:val="1F4D78"/>
                <w:sz w:val="18"/>
              </w:rPr>
              <w:t>How it is obtained</w:t>
            </w:r>
          </w:p>
        </w:tc>
        <w:tc>
          <w:tcPr>
            <w:tcW w:type="dxa" w:w="3260"/>
            <w:tcMar>
              <w:top w:w="80" w:type="dxa"/>
              <w:start w:w="120" w:type="dxa"/>
              <w:bottom w:w="80" w:type="dxa"/>
              <w:end w:w="120" w:type="dxa"/>
            </w:tcMar>
            <w:vAlign w:val="center"/>
            <w:shd w:fill="E8EEF5"/>
          </w:tcPr>
          <w:p>
            <w:pPr>
              <w:jc w:val="left"/>
            </w:pPr>
            <w:r>
              <w:rPr>
                <w:rFonts w:ascii="Calibri" w:hAnsi="Calibri"/>
                <w:b/>
                <w:color w:val="1F4D78"/>
                <w:sz w:val="18"/>
              </w:rPr>
              <w:t>Why this method</w:t>
            </w:r>
          </w:p>
        </w:tc>
      </w:tr>
      <w:tr>
        <w:tc>
          <w:tcPr>
            <w:tcW w:type="dxa" w:w="1350"/>
          </w:tcPr>
          <w:p>
            <w:r>
              <w:rPr>
                <w:rFonts w:ascii="Calibri" w:hAnsi="Calibri"/>
                <w:color w:val="000000"/>
                <w:sz w:val="18"/>
              </w:rPr>
              <w:t>P_risk</w:t>
            </w:r>
          </w:p>
        </w:tc>
        <w:tc>
          <w:tcPr>
            <w:tcW w:type="dxa" w:w="1750"/>
          </w:tcPr>
          <w:p>
            <w:r>
              <w:rPr>
                <w:rFonts w:ascii="Calibri" w:hAnsi="Calibri"/>
                <w:color w:val="000000"/>
                <w:sz w:val="18"/>
              </w:rPr>
              <w:t>Current geopolitical risk</w:t>
            </w:r>
          </w:p>
        </w:tc>
        <w:tc>
          <w:tcPr>
            <w:tcW w:type="dxa" w:w="3000"/>
          </w:tcPr>
          <w:p>
            <w:r>
              <w:rPr>
                <w:rFonts w:ascii="Calibri" w:hAnsi="Calibri"/>
                <w:color w:val="000000"/>
                <w:sz w:val="18"/>
              </w:rPr>
              <w:t>Worst confidence-adjusted, time-decayed event; baseline 0.05</w:t>
            </w:r>
          </w:p>
        </w:tc>
        <w:tc>
          <w:tcPr>
            <w:tcW w:type="dxa" w:w="3260"/>
          </w:tcPr>
          <w:p>
            <w:r>
              <w:rPr>
                <w:rFonts w:ascii="Calibri" w:hAnsi="Calibri"/>
                <w:color w:val="000000"/>
                <w:sz w:val="18"/>
              </w:rPr>
              <w:t>A single credible severe event can matter operationally; max avoids duplicate-headline accumulation.</w:t>
            </w:r>
          </w:p>
        </w:tc>
      </w:tr>
      <w:tr>
        <w:tc>
          <w:tcPr>
            <w:tcW w:type="dxa" w:w="1350"/>
          </w:tcPr>
          <w:p>
            <w:r>
              <w:rPr>
                <w:rFonts w:ascii="Calibri" w:hAnsi="Calibri"/>
                <w:color w:val="000000"/>
                <w:sz w:val="18"/>
              </w:rPr>
              <w:t>ΔD_vessel</w:t>
            </w:r>
          </w:p>
        </w:tc>
        <w:tc>
          <w:tcPr>
            <w:tcW w:type="dxa" w:w="1750"/>
          </w:tcPr>
          <w:p>
            <w:r>
              <w:rPr>
                <w:rFonts w:ascii="Calibri" w:hAnsi="Calibri"/>
                <w:color w:val="000000"/>
                <w:sz w:val="18"/>
              </w:rPr>
              <w:t>Tanker-density divergence</w:t>
            </w:r>
          </w:p>
        </w:tc>
        <w:tc>
          <w:tcPr>
            <w:tcW w:type="dxa" w:w="3000"/>
          </w:tcPr>
          <w:p>
            <w:r>
              <w:rPr>
                <w:rFonts w:ascii="Calibri" w:hAnsi="Calibri"/>
                <w:color w:val="000000"/>
                <w:sz w:val="18"/>
              </w:rPr>
              <w:t>Average of qualifying regional drops vs fixed 7-day baselines</w:t>
            </w:r>
          </w:p>
        </w:tc>
        <w:tc>
          <w:tcPr>
            <w:tcW w:type="dxa" w:w="3260"/>
          </w:tcPr>
          <w:p>
            <w:r>
              <w:rPr>
                <w:rFonts w:ascii="Calibri" w:hAnsi="Calibri"/>
                <w:color w:val="000000"/>
                <w:sz w:val="18"/>
              </w:rPr>
              <w:t>Route avoidance is measured as an abnormal fall in observed tanker activity.</w:t>
            </w:r>
          </w:p>
        </w:tc>
      </w:tr>
      <w:tr>
        <w:tc>
          <w:tcPr>
            <w:tcW w:type="dxa" w:w="1350"/>
          </w:tcPr>
          <w:p>
            <w:r>
              <w:rPr>
                <w:rFonts w:ascii="Calibri" w:hAnsi="Calibri"/>
                <w:color w:val="000000"/>
                <w:sz w:val="18"/>
              </w:rPr>
              <w:t>ΔP_price</w:t>
            </w:r>
          </w:p>
        </w:tc>
        <w:tc>
          <w:tcPr>
            <w:tcW w:type="dxa" w:w="1750"/>
          </w:tcPr>
          <w:p>
            <w:r>
              <w:rPr>
                <w:rFonts w:ascii="Calibri" w:hAnsi="Calibri"/>
                <w:color w:val="000000"/>
                <w:sz w:val="18"/>
              </w:rPr>
              <w:t>Brent stress indicator</w:t>
            </w:r>
          </w:p>
        </w:tc>
        <w:tc>
          <w:tcPr>
            <w:tcW w:type="dxa" w:w="3000"/>
          </w:tcPr>
          <w:p>
            <w:r>
              <w:rPr>
                <w:rFonts w:ascii="Calibri" w:hAnsi="Calibri"/>
                <w:color w:val="000000"/>
                <w:sz w:val="18"/>
              </w:rPr>
              <w:t>30-day-style rolling z-score mapped from -3σ..+3σ to 0..1</w:t>
            </w:r>
          </w:p>
        </w:tc>
        <w:tc>
          <w:tcPr>
            <w:tcW w:type="dxa" w:w="3260"/>
          </w:tcPr>
          <w:p>
            <w:r>
              <w:rPr>
                <w:rFonts w:ascii="Calibri" w:hAnsi="Calibri"/>
                <w:color w:val="000000"/>
                <w:sz w:val="18"/>
              </w:rPr>
              <w:t>Places price movement on a common bounded scale and caps outliers.</w:t>
            </w:r>
          </w:p>
        </w:tc>
      </w:tr>
      <w:tr>
        <w:tc>
          <w:tcPr>
            <w:tcW w:type="dxa" w:w="1350"/>
          </w:tcPr>
          <w:p>
            <w:r>
              <w:rPr>
                <w:rFonts w:ascii="Calibri" w:hAnsi="Calibri"/>
                <w:color w:val="000000"/>
                <w:sz w:val="18"/>
              </w:rPr>
              <w:t>ΔP_freight</w:t>
            </w:r>
          </w:p>
        </w:tc>
        <w:tc>
          <w:tcPr>
            <w:tcW w:type="dxa" w:w="1750"/>
          </w:tcPr>
          <w:p>
            <w:r>
              <w:rPr>
                <w:rFonts w:ascii="Calibri" w:hAnsi="Calibri"/>
                <w:color w:val="000000"/>
                <w:sz w:val="18"/>
              </w:rPr>
              <w:t>Freight stress indicator</w:t>
            </w:r>
          </w:p>
        </w:tc>
        <w:tc>
          <w:tcPr>
            <w:tcW w:type="dxa" w:w="3000"/>
          </w:tcPr>
          <w:p>
            <w:r>
              <w:rPr>
                <w:rFonts w:ascii="Calibri" w:hAnsi="Calibri"/>
                <w:color w:val="000000"/>
                <w:sz w:val="18"/>
              </w:rPr>
              <w:t>Same clipped z-score transformation applied to freight proxy</w:t>
            </w:r>
          </w:p>
        </w:tc>
        <w:tc>
          <w:tcPr>
            <w:tcW w:type="dxa" w:w="3260"/>
          </w:tcPr>
          <w:p>
            <w:r>
              <w:rPr>
                <w:rFonts w:ascii="Calibri" w:hAnsi="Calibri"/>
                <w:color w:val="000000"/>
                <w:sz w:val="18"/>
              </w:rPr>
              <w:t>Captures logistics cost pressure independently of spot oil.</w:t>
            </w:r>
          </w:p>
        </w:tc>
      </w:tr>
    </w:tbl>
    <w:p>
      <w:pPr>
        <w:spacing w:after="20"/>
      </w:pPr>
    </w:p>
    <w:p>
      <w:pPr>
        <w:pStyle w:val="Heading2"/>
        <w:keepNext/>
      </w:pPr>
      <w:r>
        <w:t>1.1 Geopolitical Event Risk: confidence, decay, and selection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event_risk(t) = baseline + [clamp(severity × confidence × multiplier, baseline, 0.95) − baseline] × 0.5^(age_days / 14)</w:t>
            </w:r>
          </w:p>
        </w:tc>
      </w:tr>
    </w:tbl>
    <w:p>
      <w:pPr>
        <w:spacing w:before="0" w:after="120" w:line="264" w:lineRule="auto"/>
      </w:pPr>
      <w:r>
        <w:rPr>
          <w:rFonts w:ascii="Calibri" w:hAnsi="Calibri"/>
          <w:color w:val="000000"/>
          <w:sz w:val="22"/>
        </w:rPr>
        <w:t>The Sentinel model supplies severity and confidence in [0,1]. The Modeler multiplies them, caps the raw result between the 0.05 baseline and 0.95 maximum, then exponentially decays only the excess above baseline. With the default 14-day half-life, the excess risk halves every 14 days instead of abruptly disappearing.</w:t>
      </w:r>
    </w:p>
    <w:tbl>
      <w:tblPr>
        <w:tblStyle w:val="TableGrid"/>
        <w:tblW w:type="dxa" w:w="9360"/>
        <w:jc w:val="left"/>
        <w:tblLayout w:type="fixed"/>
        <w:tblLook w:firstColumn="1" w:firstRow="1" w:lastColumn="0" w:lastRow="0" w:noHBand="0" w:noVBand="1" w:val="04A0"/>
        <w:tblInd w:w="120" w:type="dxa"/>
      </w:tblPr>
      <w:tblGrid>
        <w:gridCol w:w="2250"/>
        <w:gridCol w:w="1000"/>
        <w:gridCol w:w="5110"/>
      </w:tblGrid>
      <w:tr>
        <w:tc>
          <w:tcPr>
            <w:tcW w:type="dxa" w:w="2250"/>
            <w:tcMar>
              <w:top w:w="80" w:type="dxa"/>
              <w:start w:w="120" w:type="dxa"/>
              <w:bottom w:w="80" w:type="dxa"/>
              <w:end w:w="120" w:type="dxa"/>
            </w:tcMar>
            <w:vAlign w:val="center"/>
            <w:shd w:fill="E8EEF5"/>
          </w:tcPr>
          <w:p>
            <w:pPr>
              <w:jc w:val="left"/>
            </w:pPr>
            <w:r>
              <w:rPr>
                <w:rFonts w:ascii="Calibri" w:hAnsi="Calibri"/>
                <w:b/>
                <w:color w:val="1F4D78"/>
                <w:sz w:val="18"/>
              </w:rPr>
              <w:t>Value / guardrail</w:t>
            </w:r>
          </w:p>
        </w:tc>
        <w:tc>
          <w:tcPr>
            <w:tcW w:type="dxa" w:w="1000"/>
            <w:tcMar>
              <w:top w:w="80" w:type="dxa"/>
              <w:start w:w="120" w:type="dxa"/>
              <w:bottom w:w="80" w:type="dxa"/>
              <w:end w:w="120" w:type="dxa"/>
            </w:tcMar>
            <w:vAlign w:val="center"/>
            <w:shd w:fill="E8EEF5"/>
          </w:tcPr>
          <w:p>
            <w:pPr>
              <w:jc w:val="left"/>
            </w:pPr>
            <w:r>
              <w:rPr>
                <w:rFonts w:ascii="Calibri" w:hAnsi="Calibri"/>
                <w:b/>
                <w:color w:val="1F4D78"/>
                <w:sz w:val="18"/>
              </w:rPr>
              <w:t>Default</w:t>
            </w:r>
          </w:p>
        </w:tc>
        <w:tc>
          <w:tcPr>
            <w:tcW w:type="dxa" w:w="5110"/>
            <w:tcMar>
              <w:top w:w="80" w:type="dxa"/>
              <w:start w:w="120" w:type="dxa"/>
              <w:bottom w:w="80" w:type="dxa"/>
              <w:end w:w="120" w:type="dxa"/>
            </w:tcMar>
            <w:vAlign w:val="center"/>
            <w:shd w:fill="E8EEF5"/>
          </w:tcPr>
          <w:p>
            <w:pPr>
              <w:jc w:val="left"/>
            </w:pPr>
            <w:r>
              <w:rPr>
                <w:rFonts w:ascii="Calibri" w:hAnsi="Calibri"/>
                <w:b/>
                <w:color w:val="1F4D78"/>
                <w:sz w:val="18"/>
              </w:rPr>
              <w:t>Purpose</w:t>
            </w:r>
          </w:p>
        </w:tc>
      </w:tr>
      <w:tr>
        <w:tc>
          <w:tcPr>
            <w:tcW w:type="dxa" w:w="2250"/>
          </w:tcPr>
          <w:p>
            <w:r>
              <w:rPr>
                <w:rFonts w:ascii="Calibri" w:hAnsi="Calibri"/>
                <w:color w:val="000000"/>
                <w:sz w:val="18"/>
              </w:rPr>
              <w:t>Baseline risk</w:t>
            </w:r>
          </w:p>
        </w:tc>
        <w:tc>
          <w:tcPr>
            <w:tcW w:type="dxa" w:w="1000"/>
          </w:tcPr>
          <w:p>
            <w:r>
              <w:rPr>
                <w:rFonts w:ascii="Calibri" w:hAnsi="Calibri"/>
                <w:color w:val="000000"/>
                <w:sz w:val="18"/>
              </w:rPr>
              <w:t>0.05</w:t>
            </w:r>
          </w:p>
        </w:tc>
        <w:tc>
          <w:tcPr>
            <w:tcW w:type="dxa" w:w="5110"/>
          </w:tcPr>
          <w:p>
            <w:r>
              <w:rPr>
                <w:rFonts w:ascii="Calibri" w:hAnsi="Calibri"/>
                <w:color w:val="000000"/>
                <w:sz w:val="18"/>
              </w:rPr>
              <w:t>Maintains a small residual risk for a chokepoint or producer with no active event.</w:t>
            </w:r>
          </w:p>
        </w:tc>
      </w:tr>
      <w:tr>
        <w:tc>
          <w:tcPr>
            <w:tcW w:type="dxa" w:w="2250"/>
          </w:tcPr>
          <w:p>
            <w:r>
              <w:rPr>
                <w:rFonts w:ascii="Calibri" w:hAnsi="Calibri"/>
                <w:color w:val="000000"/>
                <w:sz w:val="18"/>
              </w:rPr>
              <w:t>Maximum risk</w:t>
            </w:r>
          </w:p>
        </w:tc>
        <w:tc>
          <w:tcPr>
            <w:tcW w:type="dxa" w:w="1000"/>
          </w:tcPr>
          <w:p>
            <w:r>
              <w:rPr>
                <w:rFonts w:ascii="Calibri" w:hAnsi="Calibri"/>
                <w:color w:val="000000"/>
                <w:sz w:val="18"/>
              </w:rPr>
              <w:t>0.95</w:t>
            </w:r>
          </w:p>
        </w:tc>
        <w:tc>
          <w:tcPr>
            <w:tcW w:type="dxa" w:w="5110"/>
          </w:tcPr>
          <w:p>
            <w:r>
              <w:rPr>
                <w:rFonts w:ascii="Calibri" w:hAnsi="Calibri"/>
                <w:color w:val="000000"/>
                <w:sz w:val="18"/>
              </w:rPr>
              <w:t>Prevents a display of absolute certainty.</w:t>
            </w:r>
          </w:p>
        </w:tc>
      </w:tr>
      <w:tr>
        <w:tc>
          <w:tcPr>
            <w:tcW w:type="dxa" w:w="2250"/>
          </w:tcPr>
          <w:p>
            <w:r>
              <w:rPr>
                <w:rFonts w:ascii="Calibri" w:hAnsi="Calibri"/>
                <w:color w:val="000000"/>
                <w:sz w:val="18"/>
              </w:rPr>
              <w:t>Half-life</w:t>
            </w:r>
          </w:p>
        </w:tc>
        <w:tc>
          <w:tcPr>
            <w:tcW w:type="dxa" w:w="1000"/>
          </w:tcPr>
          <w:p>
            <w:r>
              <w:rPr>
                <w:rFonts w:ascii="Calibri" w:hAnsi="Calibri"/>
                <w:color w:val="000000"/>
                <w:sz w:val="18"/>
              </w:rPr>
              <w:t>14 days</w:t>
            </w:r>
          </w:p>
        </w:tc>
        <w:tc>
          <w:tcPr>
            <w:tcW w:type="dxa" w:w="5110"/>
          </w:tcPr>
          <w:p>
            <w:r>
              <w:rPr>
                <w:rFonts w:ascii="Calibri" w:hAnsi="Calibri"/>
                <w:color w:val="000000"/>
                <w:sz w:val="18"/>
              </w:rPr>
              <w:t>Makes recent reports matter most while fading stale intelligence smoothly.</w:t>
            </w:r>
          </w:p>
        </w:tc>
      </w:tr>
      <w:tr>
        <w:tc>
          <w:tcPr>
            <w:tcW w:type="dxa" w:w="2250"/>
          </w:tcPr>
          <w:p>
            <w:r>
              <w:rPr>
                <w:rFonts w:ascii="Calibri" w:hAnsi="Calibri"/>
                <w:color w:val="000000"/>
                <w:sz w:val="18"/>
              </w:rPr>
              <w:t>Missing confidence</w:t>
            </w:r>
          </w:p>
        </w:tc>
        <w:tc>
          <w:tcPr>
            <w:tcW w:type="dxa" w:w="1000"/>
          </w:tcPr>
          <w:p>
            <w:r>
              <w:rPr>
                <w:rFonts w:ascii="Calibri" w:hAnsi="Calibri"/>
                <w:color w:val="000000"/>
                <w:sz w:val="18"/>
              </w:rPr>
              <w:t>0.50 for an event; 0.30 if no event</w:t>
            </w:r>
          </w:p>
        </w:tc>
        <w:tc>
          <w:tcPr>
            <w:tcW w:type="dxa" w:w="5110"/>
          </w:tcPr>
          <w:p>
            <w:r>
              <w:rPr>
                <w:rFonts w:ascii="Calibri" w:hAnsi="Calibri"/>
                <w:color w:val="000000"/>
                <w:sz w:val="18"/>
              </w:rPr>
              <w:t>Uses a conservative midpoint/low band rather than assuming certainty.</w:t>
            </w:r>
          </w:p>
        </w:tc>
      </w:tr>
      <w:tr>
        <w:tc>
          <w:tcPr>
            <w:tcW w:type="dxa" w:w="2250"/>
          </w:tcPr>
          <w:p>
            <w:r>
              <w:rPr>
                <w:rFonts w:ascii="Calibri" w:hAnsi="Calibri"/>
                <w:color w:val="000000"/>
                <w:sz w:val="18"/>
              </w:rPr>
              <w:t>Aggregation</w:t>
            </w:r>
          </w:p>
        </w:tc>
        <w:tc>
          <w:tcPr>
            <w:tcW w:type="dxa" w:w="1000"/>
          </w:tcPr>
          <w:p>
            <w:r>
              <w:rPr>
                <w:rFonts w:ascii="Calibri" w:hAnsi="Calibri"/>
                <w:color w:val="000000"/>
                <w:sz w:val="18"/>
              </w:rPr>
              <w:t>max(event_risk)</w:t>
            </w:r>
          </w:p>
        </w:tc>
        <w:tc>
          <w:tcPr>
            <w:tcW w:type="dxa" w:w="5110"/>
          </w:tcPr>
          <w:p>
            <w:r>
              <w:rPr>
                <w:rFonts w:ascii="Calibri" w:hAnsi="Calibri"/>
                <w:color w:val="000000"/>
                <w:sz w:val="18"/>
              </w:rPr>
              <w:t>Models the worst current incident and avoids double-counting repeated coverage.</w:t>
            </w:r>
          </w:p>
        </w:tc>
      </w:tr>
    </w:tbl>
    <w:p>
      <w:pPr>
        <w:spacing w:after="20"/>
      </w:pPr>
    </w:p>
    <w:p>
      <w:pPr>
        <w:pStyle w:val="Heading2"/>
        <w:keepNext/>
      </w:pPr>
      <w:r>
        <w:t>1.2 Vessel-density divergence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ΔD_vessel = clamp((baseline tanker count − current tanker count) / baseline tanker count, 0, 1)</w:t>
            </w:r>
          </w:p>
        </w:tc>
      </w:tr>
    </w:tbl>
    <w:p>
      <w:pPr>
        <w:spacing w:before="0" w:after="120" w:line="264" w:lineRule="auto"/>
      </w:pPr>
      <w:r>
        <w:rPr>
          <w:rFonts w:ascii="Calibri" w:hAnsi="Calibri"/>
          <w:color w:val="000000"/>
          <w:sz w:val="22"/>
        </w:rPr>
        <w:t>The current SDI averages this value only over observed tanker regions that match the configured chokepoint baselines. A fall below baseline increases the score; more ships than baseline returns zero rather than negative risk. The calculation is used only when the AIS snapshot is fresh (≤24 hours), at least 70% of vessels have a known type, at least 10 tankers are present, and at least 3 eligible regions exist. Otherwise the component is set to 0 and the AIS status reports partial or unavailable.</w:t>
      </w:r>
    </w:p>
    <w:p>
      <w:pPr>
        <w:pStyle w:val="Heading2"/>
        <w:keepNext/>
      </w:pPr>
      <w:r>
        <w:t>1.3 Market normalization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z = (current − rolling_mean) / rolling_std; normalized = [clamp(z, −3, +3) + 3] / 6</w:t>
            </w:r>
          </w:p>
        </w:tc>
      </w:tr>
    </w:tbl>
    <w:p>
      <w:pPr>
        <w:spacing w:before="0" w:after="120" w:line="264" w:lineRule="auto"/>
      </w:pPr>
      <w:r>
        <w:rPr>
          <w:rFonts w:ascii="Calibri" w:hAnsi="Calibri"/>
          <w:color w:val="000000"/>
          <w:sz w:val="22"/>
        </w:rPr>
        <w:t>Brent and freight use the same z-score transformation. A value at the rolling mean maps to 0.5; +3 standard deviations maps to 1; −3 maps to 0. The clip prevents an isolated extreme observation from dominating SDI. If standard deviation is zero, the normalizers return 0.5; however, the current SDI excludes an unavailable or stale market feed by contributing 0 and marking market status accordingly.</w:t>
      </w:r>
    </w:p>
    <w:p>
      <w:pPr>
        <w:pStyle w:val="Heading2"/>
        <w:keepNext/>
      </w:pPr>
      <w:r>
        <w:t>1.4 Confidence band and price-impact estimate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margin = (P_risk × 0.40 × 100) × (1 − confidence); band = [max(0, SDI − margin), min(100, SDI + margin)]</w:t>
            </w:r>
          </w:p>
        </w:tc>
      </w:tr>
    </w:tbl>
    <w:p>
      <w:pPr>
        <w:spacing w:before="0" w:after="120" w:line="264" w:lineRule="auto"/>
      </w:pPr>
      <w:r>
        <w:rPr>
          <w:rFonts w:ascii="Calibri" w:hAnsi="Calibri"/>
          <w:color w:val="000000"/>
          <w:sz w:val="22"/>
        </w:rPr>
        <w:t>Only the geopolitical portion receives the confidence margin because confidence describes the Sentinel event assessment, not the vessel or market measurements. This avoids widening uncertainty for unrelated observed data.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estimated price impact (USD/bbl) ≈ [P_risk × chokepoint flow (mb/d) / 100] / 0.05</w:t>
            </w:r>
          </w:p>
        </w:tc>
      </w:tr>
    </w:tbl>
    <w:p>
      <w:pPr>
        <w:spacing w:before="0" w:after="120" w:line="264" w:lineRule="auto"/>
      </w:pPr>
      <w:r>
        <w:rPr>
          <w:rFonts w:ascii="Calibri" w:hAnsi="Calibri"/>
          <w:color w:val="000000"/>
          <w:sz w:val="22"/>
        </w:rPr>
        <w:t>The price-impact proxy assumes world supply of 100 mb/d and short-run demand elasticity of 0.05. The top event's largest affected chokepoint flow is used. It is best interpreted as a scenario sensitivity, not a tradable price forecast.</w:t>
      </w:r>
    </w:p>
    <w:p>
      <w:r>
        <w:br w:type="page"/>
      </w:r>
    </w:p>
    <w:p>
      <w:pPr>
        <w:pStyle w:val="Heading1"/>
        <w:keepNext/>
      </w:pPr>
      <w:r>
        <w:t>2. Chokepoint and Producer Risk Matrices</w:t>
      </w:r>
    </w:p>
    <w:p>
      <w:pPr>
        <w:pStyle w:val="Heading2"/>
        <w:keepNext/>
      </w:pPr>
      <w:r>
        <w:t>2.1 Chokepoint matrix</w:t>
      </w:r>
    </w:p>
    <w:p>
      <w:pPr>
        <w:spacing w:before="0" w:after="120" w:line="264" w:lineRule="auto"/>
      </w:pPr>
      <w:r>
        <w:rPr>
          <w:rFonts w:ascii="Calibri" w:hAnsi="Calibri"/>
          <w:color w:val="000000"/>
          <w:sz w:val="22"/>
        </w:rPr>
        <w:t>Each chokepoint starts at baseline risk 0.05. Directly named events are assigned to their affected chokepoints using the maximum decayed event risk. For a producer event with no named chokepoint, the system maps the producer to plausible transit chokepoints and applies a 0.70 inference discount. The API labels this as inferred.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inferred chokepoint risk = event_risk × 0.70; chokepoint risk = max(baseline, all applicable direct/inferred risks)</w:t>
            </w:r>
          </w:p>
        </w:tc>
      </w:tr>
    </w:tbl>
    <w:p>
      <w:pPr>
        <w:spacing w:before="0" w:after="120" w:line="264" w:lineRule="auto"/>
      </w:pPr>
      <w:r>
        <w:rPr>
          <w:rFonts w:ascii="Calibri" w:hAnsi="Calibri"/>
          <w:color w:val="000000"/>
          <w:sz w:val="22"/>
        </w:rPr>
        <w:t>The matrix also calculates a local SDI contribution using the same SDI formula with price and freight components set to zero. This isolates local geopolitical and vessel conditions from global market effects. Rows are sorted by risk, then by oil flow.</w:t>
      </w:r>
    </w:p>
    <w:p>
      <w:pPr>
        <w:pStyle w:val="Heading2"/>
        <w:keepNext/>
      </w:pPr>
      <w:r>
        <w:t>2.2 Producer-country matrix</w:t>
      </w:r>
    </w:p>
    <w:p>
      <w:pPr>
        <w:spacing w:before="0" w:after="120" w:line="264" w:lineRule="auto"/>
      </w:pPr>
      <w:r>
        <w:rPr>
          <w:rFonts w:ascii="Calibri" w:hAnsi="Calibri"/>
          <w:color w:val="000000"/>
          <w:sz w:val="22"/>
        </w:rPr>
        <w:t>Countries are canonicalized (for example, USA → United States and UAE → United Arab Emirates) before scoring, preventing duplicate country rows. Directly impaired producers receive the full decayed event risk. Producers exposed only because their route uses an affected chokepoint receive the 0.70-discounted transit risk. Each country retains the highest applicable candidate and records exposure type, driver, and source event.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producer risk = max(baseline, direct event_risk, transit event_risk × 0.70)</w:t>
            </w:r>
          </w:p>
        </w:tc>
      </w:tr>
    </w:tbl>
    <w:p>
      <w:pPr>
        <w:spacing w:before="0" w:after="120" w:line="264" w:lineRule="auto"/>
      </w:pPr>
      <w:r>
        <w:rPr>
          <w:rFonts w:ascii="Calibri" w:hAnsi="Calibri"/>
          <w:color w:val="000000"/>
          <w:sz w:val="22"/>
        </w:rPr>
        <w:t>This deliberately distinguishes production/export impairment from transit exposure. It prevents countries merely named in a news story from inheriting a full event score.</w:t>
      </w:r>
    </w:p>
    <w:p>
      <w:pPr>
        <w:pStyle w:val="Heading2"/>
        <w:keepNext/>
      </w:pPr>
      <w:r>
        <w:t>2.3 Flow-weighted aggregate risk utility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flow-weighted risk = Σ(flow_i × risk_i) / Σ(flow_i)</w:t>
            </w:r>
          </w:p>
        </w:tc>
      </w:tr>
    </w:tbl>
    <w:p>
      <w:pPr>
        <w:spacing w:before="0" w:after="120" w:line="264" w:lineRule="auto"/>
      </w:pPr>
      <w:r>
        <w:rPr>
          <w:rFonts w:ascii="Calibri" w:hAnsi="Calibri"/>
          <w:color w:val="000000"/>
          <w:sz w:val="22"/>
        </w:rPr>
        <w:t>A utility function supports an aggregate risk across chokepoints. Weighting by daily flow makes a disruption at a high-throughput route contribute more than an equally risky low-volume route. It returns 0 if total flow is zero and validates that the two input lists have equal length.</w:t>
      </w:r>
    </w:p>
    <w:p>
      <w:pPr>
        <w:pStyle w:val="Heading1"/>
        <w:keepNext/>
      </w:pPr>
      <w:r>
        <w:t>3. Procurement / Rerouting Calculations</w:t>
      </w:r>
    </w:p>
    <w:p>
      <w:pPr>
        <w:spacing w:before="0" w:after="120" w:line="264" w:lineRule="auto"/>
      </w:pPr>
      <w:r>
        <w:rPr>
          <w:rFonts w:ascii="Calibri" w:hAnsi="Calibri"/>
          <w:color w:val="000000"/>
          <w:sz w:val="22"/>
        </w:rPr>
        <w:t>The Fixer agent filters suppliers that can bypass a blocked chokepoint, then calculates economics and lead time for each viable source or crude blend. The UI may sort by lowest landed cost or shortest lead time; the composite score is retained as a comparable quality indicator.</w:t>
      </w:r>
    </w:p>
    <w:p>
      <w:pPr>
        <w:pStyle w:val="Heading2"/>
        <w:keepNext/>
      </w:pPr>
      <w:r>
        <w:t>3.1 Route detour and lead time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lead time (days) = sea_route_km / 1.852 / (13 knots × 24) + conditional detour days</w:t>
            </w:r>
          </w:p>
        </w:tc>
      </w:tr>
    </w:tbl>
    <w:p>
      <w:pPr>
        <w:spacing w:before="0" w:after="120" w:line="264" w:lineRule="auto"/>
      </w:pPr>
      <w:r>
        <w:rPr>
          <w:rFonts w:ascii="Calibri" w:hAnsi="Calibri"/>
          <w:color w:val="000000"/>
          <w:sz w:val="22"/>
        </w:rPr>
        <w:t>The route engine uses a marine-route calculation so distance follows sea lanes rather than straight lines over land. If routing fails, it falls back to a 8,000 nautical-mile assumption. Detour days are applied only when the port's recorded normal transit route actually uses the blocked chokepoint (for example, Suez/Bab-el-Mandeb: 14 days; Panama: 10; Turkish Straits: 5; Malacca: 4). This conditional rule prevents unrelated suppliers from receiving the same blockade penalty.</w:t>
      </w:r>
    </w:p>
    <w:p>
      <w:pPr>
        <w:pStyle w:val="Heading2"/>
        <w:keepNext/>
      </w:pPr>
      <w:r>
        <w:t>3.2 Freight premium and landed cost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freight premium (USD/bbl) = 65,000 USD/day × voyage_days / 2,000,000 barrels; landed cost = Brent spot + freight premium</w:t>
            </w:r>
          </w:p>
        </w:tc>
      </w:tr>
    </w:tbl>
    <w:p>
      <w:pPr>
        <w:spacing w:before="0" w:after="120" w:line="264" w:lineRule="auto"/>
      </w:pPr>
      <w:r>
        <w:rPr>
          <w:rFonts w:ascii="Calibri" w:hAnsi="Calibri"/>
          <w:color w:val="000000"/>
          <w:sz w:val="22"/>
        </w:rPr>
        <w:t>A VLCC charter-rate model converts a voyage-duration estimate into a per-barrel freight premium. It makes cost comparable across routes while keeping the calculation transparent. The model does not include port fees, insurance, quality differentials, taxes, or refinery yield effects, so it is a procurement screen rather than a quoted all-in price.</w:t>
      </w:r>
    </w:p>
    <w:p>
      <w:pPr>
        <w:pStyle w:val="Heading2"/>
        <w:keepNext/>
      </w:pPr>
      <w:r>
        <w:t>3.3 Risk and congestion inputs</w:t>
      </w:r>
    </w:p>
    <w:p>
      <w:pPr>
        <w:spacing w:before="0" w:after="120" w:line="264" w:lineRule="auto"/>
      </w:pPr>
      <w:r>
        <w:rPr>
          <w:rFonts w:ascii="Calibri" w:hAnsi="Calibri"/>
          <w:color w:val="000000"/>
          <w:sz w:val="22"/>
        </w:rPr>
        <w:t>A source-country risk starts at 0.05 and becomes the largest matching severity × confidence among events whose region or summary mentions that country; it is capped at 0.95. This uses max rather than addition so three moderate news items do not automatically become a near-certain risk. Port congestion is supplied by the PortWatch calculation in section 5; missing congestion is assigned 0.5 as a neutral value.</w:t>
      </w:r>
    </w:p>
    <w:p>
      <w:pPr>
        <w:pStyle w:val="Heading2"/>
        <w:keepNext/>
      </w:pPr>
      <w:r>
        <w:t>3.4 Composite procurement score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score = 0.35·cost_score + 0.25·time_score + 0.25·(1 − risk) + 0.15·(1 − congestion)</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cost_score = 1 − min(landed_cost / (1.5 × Brent), 1); time_score = 1 − min(lead_time / 45, 1)</w:t>
            </w:r>
          </w:p>
        </w:tc>
      </w:tr>
    </w:tbl>
    <w:p>
      <w:pPr>
        <w:spacing w:before="0" w:after="120" w:line="264" w:lineRule="auto"/>
      </w:pPr>
      <w:r>
        <w:rPr>
          <w:rFonts w:ascii="Calibri" w:hAnsi="Calibri"/>
          <w:color w:val="000000"/>
          <w:sz w:val="22"/>
        </w:rPr>
        <w:t>All terms are inverted where lower is better, producing a 0–1 score where higher is preferable. Cost receives the largest weight (35%), while speed and route risk each receive 25% and port congestion 15%. Normalization ceilings make extreme cost or time stop worsening the score past the defined worst-case boundary. The default UI ranking is still explicit—cost or speed—so the composite should be read as decision context, not a hidden override.</w:t>
      </w:r>
    </w:p>
    <w:p>
      <w:pPr>
        <w:pStyle w:val="Heading2"/>
        <w:keepNext/>
      </w:pPr>
      <w:r>
        <w:t>3.5 Blend candidates</w:t>
      </w:r>
    </w:p>
    <w:p>
      <w:pPr>
        <w:spacing w:before="0" w:after="120" w:line="264" w:lineRule="auto"/>
      </w:pPr>
      <w:r>
        <w:rPr>
          <w:rFonts w:ascii="Calibri" w:hAnsi="Calibri"/>
          <w:color w:val="000000"/>
          <w:sz w:val="22"/>
        </w:rPr>
        <w:t>For compatible blends, the system considers component weights from 10% to 90% and uses linear interpolation for API gravity plus a ±1.0 sulphur tolerance. Cost and congestion are weighted averages; lead time, risk, and detour use the maximum component value. That conservative maximum represents the slowest/riskier dependency in a two-cargo option.</w:t>
      </w:r>
    </w:p>
    <w:p>
      <w:r>
        <w:br w:type="page"/>
      </w:r>
    </w:p>
    <w:p>
      <w:pPr>
        <w:pStyle w:val="Heading1"/>
        <w:keepNext/>
      </w:pPr>
      <w:r>
        <w:t>4. Strategic Petroleum Reserve (SPR) Simulation</w:t>
      </w:r>
    </w:p>
    <w:p>
      <w:pPr>
        <w:spacing w:before="0" w:after="120" w:line="264" w:lineRule="auto"/>
      </w:pPr>
      <w:r>
        <w:rPr>
          <w:rFonts w:ascii="Calibri" w:hAnsi="Calibri"/>
          <w:color w:val="000000"/>
          <w:sz w:val="22"/>
        </w:rPr>
        <w:t>The SPR model is a deterministic scenario calculator for India. It converts a supply disruption into daily inventory burn-down, tests mitigation levers, and estimates gap-driven macro effects. It uses fixed working constants: consumption 5.4 mb/d, reserve capacity 39.0 million barrels, and site capacities totalling the stated reserve.</w:t>
      </w:r>
    </w:p>
    <w:p>
      <w:pPr>
        <w:pStyle w:val="Heading2"/>
        <w:keepNext/>
      </w:pPr>
      <w:r>
        <w:t>4.1 Daily shortfall and survival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daily shortfall = supplied disrupted volume; otherwise 5.4 mb/d × chokepoint import share</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SPR survival days = 39.0 million barrels / daily shortfall; supply gap = max(0, reroute lead time − survival days)</w:t>
            </w:r>
          </w:p>
        </w:tc>
      </w:tr>
    </w:tbl>
    <w:p>
      <w:pPr>
        <w:spacing w:before="0" w:after="120" w:line="264" w:lineRule="auto"/>
      </w:pPr>
      <w:r>
        <w:rPr>
          <w:rFonts w:ascii="Calibri" w:hAnsi="Calibri"/>
          <w:color w:val="000000"/>
          <w:sz w:val="22"/>
        </w:rPr>
        <w:t>If the caller does not provide disrupted volume, the system applies a chokepoint-specific share of India's consumption (Hormuz 40%, Suez 15%, Bab-el-Mandeb 12%, Malacca 5%, Cape 2%, Turkish Straits 1%; unknown 10%). This is a quick exposure-based default. A zero shortfall is represented by 999 survival days to keep downstream outputs defined.</w:t>
      </w:r>
    </w:p>
    <w:p>
      <w:pPr>
        <w:pStyle w:val="Heading2"/>
        <w:keepNext/>
      </w:pPr>
      <w:r>
        <w:t>4.2 Demand-management scenario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cumulative reduction = 5.4 × (run-rate cut + industrial cut + transport cut); adjusted shortfall = max(0, daily shortfall − cumulative reduction)</w:t>
            </w:r>
          </w:p>
        </w:tc>
      </w:tr>
    </w:tbl>
    <w:p>
      <w:pPr>
        <w:spacing w:before="0" w:after="120" w:line="264" w:lineRule="auto"/>
      </w:pPr>
      <w:r>
        <w:rPr>
          <w:rFonts w:ascii="Calibri" w:hAnsi="Calibri"/>
          <w:color w:val="000000"/>
          <w:sz w:val="22"/>
        </w:rPr>
        <w:t>The default levers are a 15% refinery run-rate cut, 8% industrial-priority reduction, and 10% transport rationing. Each reduction is calculated against total national daily demand, then subtracted from the disrupted-volume shortfall. This is intentionally simple and can fully offset small disruptions; it should therefore be treated as a policy scenario, with sliders exposing the assumptions.</w:t>
      </w:r>
    </w:p>
    <w:p>
      <w:pPr>
        <w:pStyle w:val="Heading2"/>
        <w:keepNext/>
      </w:pPr>
      <w:r>
        <w:t>4.3 Burn-down and replenishment series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during disruption: SPR_t = max(0, SPR_(t−1) − shortfall); after arrival: SPR_t = min(39, SPR_(t−1) + 0.5 × shortfall)</w:t>
            </w:r>
          </w:p>
        </w:tc>
      </w:tr>
    </w:tbl>
    <w:p>
      <w:pPr>
        <w:spacing w:before="0" w:after="120" w:line="264" w:lineRule="auto"/>
      </w:pPr>
      <w:r>
        <w:rPr>
          <w:rFonts w:ascii="Calibri" w:hAnsi="Calibri"/>
          <w:color w:val="000000"/>
          <w:sz w:val="22"/>
        </w:rPr>
        <w:t>The model generates daily baseline and managed reserve levels from day 0 through lead time + five days. The safe-floor display is 10% of capacity (3.9 MB). Once cargoes arrive, the reserve is replenished at half the shortfall rate. That replenishment rule is a visualization assumption, not an optimization model.</w:t>
      </w:r>
    </w:p>
    <w:p>
      <w:pPr>
        <w:pStyle w:val="Heading2"/>
        <w:keepNext/>
      </w:pPr>
      <w:r>
        <w:t>4.4 Macro impact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GDP impact (%) = gap_days × user GDP rate (default 0.035%/day); inflation impact (%) = gap_days × 0.07%/day</w:t>
            </w:r>
          </w:p>
        </w:tc>
      </w:tr>
    </w:tbl>
    <w:p>
      <w:pPr>
        <w:spacing w:before="0" w:after="120" w:line="264" w:lineRule="auto"/>
      </w:pPr>
      <w:r>
        <w:rPr>
          <w:rFonts w:ascii="Calibri" w:hAnsi="Calibri"/>
          <w:color w:val="000000"/>
          <w:sz w:val="22"/>
        </w:rPr>
        <w:t>The GDP dollar proxy uses 1% of GDP ≈ USD 37 billion: GDP loss in USD millions = GDP impact percentage × 37,000. The model calculates both unmitigated and managed cases. It makes the business implication of a coverage gap visible, but the coefficients are scenario assumptions, not an econometric forecast.</w:t>
      </w:r>
    </w:p>
    <w:p>
      <w:pPr>
        <w:pStyle w:val="Heading1"/>
        <w:keepNext/>
      </w:pPr>
      <w:r>
        <w:t>5. Port Congestion and Historical Backtest</w:t>
      </w:r>
    </w:p>
    <w:p>
      <w:pPr>
        <w:pStyle w:val="Heading2"/>
        <w:keepNext/>
      </w:pPr>
      <w:r>
        <w:t>5.1 PortWatch congestion proxy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congestion = max(0, 1 − average(port calls, most recent 7 days) / average(port calls, trailing 30 days))</w:t>
            </w:r>
          </w:p>
        </w:tc>
      </w:tr>
    </w:tbl>
    <w:p>
      <w:pPr>
        <w:spacing w:before="0" w:after="120" w:line="264" w:lineRule="auto"/>
      </w:pPr>
      <w:r>
        <w:rPr>
          <w:rFonts w:ascii="Calibri" w:hAnsi="Calibri"/>
          <w:color w:val="000000"/>
          <w:sz w:val="22"/>
        </w:rPr>
        <w:t>The port metric compares recent tanker port calls with a local 30-day baseline. If recent calls equal or exceed baseline, congestion is 0. A sustained fall raises the score toward 1 under the operating assumption that fewer completed calls may indicate vessels backing up. The method returns neutral 0.5 when fewer than 14 days of history, missing data, or a low-volume baseline (&lt;0.5 calls/day) would make the ratio noisy.</w:t>
      </w:r>
    </w:p>
    <w:p>
      <w:pPr>
        <w:pStyle w:val="Heading2"/>
        <w:keepNext/>
      </w:pPr>
      <w:r>
        <w:t>5.2 Backtest alert lead time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80" w:after="80"/>
            </w:pPr>
            <w:r>
              <w:rPr>
                <w:rFonts w:ascii="Calibri" w:hAnsi="Calibri"/>
                <w:b/>
                <w:color w:val="0B2545"/>
                <w:sz w:val="20"/>
              </w:rPr>
              <w:t>market breakout when Brent price &gt; 14-day rolling mean + 1.5 × 14-day rolling standard deviation</w:t>
            </w:r>
          </w:p>
        </w:tc>
      </w:tr>
    </w:tbl>
    <w:p>
      <w:pPr>
        <w:spacing w:before="0" w:after="120" w:line="264" w:lineRule="auto"/>
      </w:pPr>
      <w:r>
        <w:rPr>
          <w:rFonts w:ascii="Calibri" w:hAnsi="Calibri"/>
          <w:color w:val="000000"/>
          <w:sz w:val="22"/>
        </w:rPr>
        <w:t>For a chosen historical event, the API keeps the highest SDI recorded per day, identifies the first day SDI reaches 65, and identifies the first independent Brent breakout above the 1.5σ threshold. Lead time equals market reaction date minus alert date. Positive values mean the system alerted earlier; negative values mean the alert lagged. This is an event-study indicator, not evidence of causal prediction.</w:t>
      </w:r>
    </w:p>
    <w:p>
      <w:r>
        <w:br w:type="page"/>
      </w:r>
    </w:p>
    <w:p>
      <w:pPr>
        <w:pStyle w:val="Heading1"/>
        <w:keepNext/>
      </w:pPr>
      <w:r>
        <w:t>6. Safeguards, Assumptions, and Interpretation</w:t>
      </w:r>
    </w:p>
    <w:tbl>
      <w:tblPr>
        <w:tblStyle w:val="TableGrid"/>
        <w:tblW w:type="dxa" w:w="9360"/>
        <w:jc w:val="left"/>
        <w:tblLayout w:type="fixed"/>
        <w:tblLook w:firstColumn="1" w:firstRow="1" w:lastColumn="0" w:lastRow="0" w:noHBand="0" w:noVBand="1" w:val="04A0"/>
        <w:tblInd w:w="120" w:type="dxa"/>
      </w:tblPr>
      <w:tblGrid>
        <w:gridCol w:w="1500"/>
        <w:gridCol w:w="3950"/>
        <w:gridCol w:w="3360"/>
      </w:tblGrid>
      <w:tr>
        <w:tc>
          <w:tcPr>
            <w:tcW w:type="dxa" w:w="1500"/>
            <w:tcMar>
              <w:top w:w="80" w:type="dxa"/>
              <w:start w:w="120" w:type="dxa"/>
              <w:bottom w:w="80" w:type="dxa"/>
              <w:end w:w="120" w:type="dxa"/>
            </w:tcMar>
            <w:vAlign w:val="center"/>
            <w:shd w:fill="E8EEF5"/>
          </w:tcPr>
          <w:p>
            <w:pPr>
              <w:jc w:val="left"/>
            </w:pPr>
            <w:r>
              <w:rPr>
                <w:rFonts w:ascii="Calibri" w:hAnsi="Calibri"/>
                <w:b/>
                <w:color w:val="1F4D78"/>
                <w:sz w:val="18"/>
              </w:rPr>
              <w:t>Area</w:t>
            </w:r>
          </w:p>
        </w:tc>
        <w:tc>
          <w:tcPr>
            <w:tcW w:type="dxa" w:w="3950"/>
            <w:tcMar>
              <w:top w:w="80" w:type="dxa"/>
              <w:start w:w="120" w:type="dxa"/>
              <w:bottom w:w="80" w:type="dxa"/>
              <w:end w:w="120" w:type="dxa"/>
            </w:tcMar>
            <w:vAlign w:val="center"/>
            <w:shd w:fill="E8EEF5"/>
          </w:tcPr>
          <w:p>
            <w:pPr>
              <w:jc w:val="left"/>
            </w:pPr>
            <w:r>
              <w:rPr>
                <w:rFonts w:ascii="Calibri" w:hAnsi="Calibri"/>
                <w:b/>
                <w:color w:val="1F4D78"/>
                <w:sz w:val="18"/>
              </w:rPr>
              <w:t>Implemented safeguard</w:t>
            </w:r>
          </w:p>
        </w:tc>
        <w:tc>
          <w:tcPr>
            <w:tcW w:type="dxa" w:w="3360"/>
            <w:tcMar>
              <w:top w:w="80" w:type="dxa"/>
              <w:start w:w="120" w:type="dxa"/>
              <w:bottom w:w="80" w:type="dxa"/>
              <w:end w:w="120" w:type="dxa"/>
            </w:tcMar>
            <w:vAlign w:val="center"/>
            <w:shd w:fill="E8EEF5"/>
          </w:tcPr>
          <w:p>
            <w:pPr>
              <w:jc w:val="left"/>
            </w:pPr>
            <w:r>
              <w:rPr>
                <w:rFonts w:ascii="Calibri" w:hAnsi="Calibri"/>
                <w:b/>
                <w:color w:val="1F4D78"/>
                <w:sz w:val="18"/>
              </w:rPr>
              <w:t>Why it matters</w:t>
            </w:r>
          </w:p>
        </w:tc>
      </w:tr>
      <w:tr>
        <w:tc>
          <w:tcPr>
            <w:tcW w:type="dxa" w:w="1500"/>
          </w:tcPr>
          <w:p>
            <w:r>
              <w:rPr>
                <w:rFonts w:ascii="Calibri" w:hAnsi="Calibri"/>
                <w:color w:val="000000"/>
                <w:sz w:val="18"/>
              </w:rPr>
              <w:t>Composite SDI</w:t>
            </w:r>
          </w:p>
        </w:tc>
        <w:tc>
          <w:tcPr>
            <w:tcW w:type="dxa" w:w="3950"/>
          </w:tcPr>
          <w:p>
            <w:r>
              <w:rPr>
                <w:rFonts w:ascii="Calibri" w:hAnsi="Calibri"/>
                <w:color w:val="000000"/>
                <w:sz w:val="18"/>
              </w:rPr>
              <w:t>Weights must sum to 1.0; components are clamped.</w:t>
            </w:r>
          </w:p>
        </w:tc>
        <w:tc>
          <w:tcPr>
            <w:tcW w:type="dxa" w:w="3360"/>
          </w:tcPr>
          <w:p>
            <w:r>
              <w:rPr>
                <w:rFonts w:ascii="Calibri" w:hAnsi="Calibri"/>
                <w:color w:val="000000"/>
                <w:sz w:val="18"/>
              </w:rPr>
              <w:t>Prevents accidental scaling errors and impossible contributions.</w:t>
            </w:r>
          </w:p>
        </w:tc>
      </w:tr>
      <w:tr>
        <w:tc>
          <w:tcPr>
            <w:tcW w:type="dxa" w:w="1500"/>
          </w:tcPr>
          <w:p>
            <w:r>
              <w:rPr>
                <w:rFonts w:ascii="Calibri" w:hAnsi="Calibri"/>
                <w:color w:val="000000"/>
                <w:sz w:val="18"/>
              </w:rPr>
              <w:t>Event aggregation</w:t>
            </w:r>
          </w:p>
        </w:tc>
        <w:tc>
          <w:tcPr>
            <w:tcW w:type="dxa" w:w="3950"/>
          </w:tcPr>
          <w:p>
            <w:r>
              <w:rPr>
                <w:rFonts w:ascii="Calibri" w:hAnsi="Calibri"/>
                <w:color w:val="000000"/>
                <w:sz w:val="18"/>
              </w:rPr>
              <w:t>Maximum active event, with time decay.</w:t>
            </w:r>
          </w:p>
        </w:tc>
        <w:tc>
          <w:tcPr>
            <w:tcW w:type="dxa" w:w="3360"/>
          </w:tcPr>
          <w:p>
            <w:r>
              <w:rPr>
                <w:rFonts w:ascii="Calibri" w:hAnsi="Calibri"/>
                <w:color w:val="000000"/>
                <w:sz w:val="18"/>
              </w:rPr>
              <w:t>Avoids repeated headlines inflating a country or route to 0.95.</w:t>
            </w:r>
          </w:p>
        </w:tc>
      </w:tr>
      <w:tr>
        <w:tc>
          <w:tcPr>
            <w:tcW w:type="dxa" w:w="1500"/>
          </w:tcPr>
          <w:p>
            <w:r>
              <w:rPr>
                <w:rFonts w:ascii="Calibri" w:hAnsi="Calibri"/>
                <w:color w:val="000000"/>
                <w:sz w:val="18"/>
              </w:rPr>
              <w:t>AIS data</w:t>
            </w:r>
          </w:p>
        </w:tc>
        <w:tc>
          <w:tcPr>
            <w:tcW w:type="dxa" w:w="3950"/>
          </w:tcPr>
          <w:p>
            <w:r>
              <w:rPr>
                <w:rFonts w:ascii="Calibri" w:hAnsi="Calibri"/>
                <w:color w:val="000000"/>
                <w:sz w:val="18"/>
              </w:rPr>
              <w:t>Freshness and coverage thresholds before vessel signal is used.</w:t>
            </w:r>
          </w:p>
        </w:tc>
        <w:tc>
          <w:tcPr>
            <w:tcW w:type="dxa" w:w="3360"/>
          </w:tcPr>
          <w:p>
            <w:r>
              <w:rPr>
                <w:rFonts w:ascii="Calibri" w:hAnsi="Calibri"/>
                <w:color w:val="000000"/>
                <w:sz w:val="18"/>
              </w:rPr>
              <w:t>Avoids reading sparse/untyped snapshots as route avoidance.</w:t>
            </w:r>
          </w:p>
        </w:tc>
      </w:tr>
      <w:tr>
        <w:tc>
          <w:tcPr>
            <w:tcW w:type="dxa" w:w="1500"/>
          </w:tcPr>
          <w:p>
            <w:r>
              <w:rPr>
                <w:rFonts w:ascii="Calibri" w:hAnsi="Calibri"/>
                <w:color w:val="000000"/>
                <w:sz w:val="18"/>
              </w:rPr>
              <w:t>Market data</w:t>
            </w:r>
          </w:p>
        </w:tc>
        <w:tc>
          <w:tcPr>
            <w:tcW w:type="dxa" w:w="3950"/>
          </w:tcPr>
          <w:p>
            <w:r>
              <w:rPr>
                <w:rFonts w:ascii="Calibri" w:hAnsi="Calibri"/>
                <w:color w:val="000000"/>
                <w:sz w:val="18"/>
              </w:rPr>
              <w:t>Stale/missing feeds are excluded and status-labelled.</w:t>
            </w:r>
          </w:p>
        </w:tc>
        <w:tc>
          <w:tcPr>
            <w:tcW w:type="dxa" w:w="3360"/>
          </w:tcPr>
          <w:p>
            <w:r>
              <w:rPr>
                <w:rFonts w:ascii="Calibri" w:hAnsi="Calibri"/>
                <w:color w:val="000000"/>
                <w:sz w:val="18"/>
              </w:rPr>
              <w:t>Avoids interpreting unavailable data as a neutral market observation.</w:t>
            </w:r>
          </w:p>
        </w:tc>
      </w:tr>
      <w:tr>
        <w:tc>
          <w:tcPr>
            <w:tcW w:type="dxa" w:w="1500"/>
          </w:tcPr>
          <w:p>
            <w:r>
              <w:rPr>
                <w:rFonts w:ascii="Calibri" w:hAnsi="Calibri"/>
                <w:color w:val="000000"/>
                <w:sz w:val="18"/>
              </w:rPr>
              <w:t>Route risk</w:t>
            </w:r>
          </w:p>
        </w:tc>
        <w:tc>
          <w:tcPr>
            <w:tcW w:type="dxa" w:w="3950"/>
          </w:tcPr>
          <w:p>
            <w:r>
              <w:rPr>
                <w:rFonts w:ascii="Calibri" w:hAnsi="Calibri"/>
                <w:color w:val="000000"/>
                <w:sz w:val="18"/>
              </w:rPr>
              <w:t>Baseline 0.05; maximum 0.95.</w:t>
            </w:r>
          </w:p>
        </w:tc>
        <w:tc>
          <w:tcPr>
            <w:tcW w:type="dxa" w:w="3360"/>
          </w:tcPr>
          <w:p>
            <w:r>
              <w:rPr>
                <w:rFonts w:ascii="Calibri" w:hAnsi="Calibri"/>
                <w:color w:val="000000"/>
                <w:sz w:val="18"/>
              </w:rPr>
              <w:t>Avoids absolute certainty and gives no-signal routes a nonzero floor.</w:t>
            </w:r>
          </w:p>
        </w:tc>
      </w:tr>
      <w:tr>
        <w:tc>
          <w:tcPr>
            <w:tcW w:type="dxa" w:w="1500"/>
          </w:tcPr>
          <w:p>
            <w:r>
              <w:rPr>
                <w:rFonts w:ascii="Calibri" w:hAnsi="Calibri"/>
                <w:color w:val="000000"/>
                <w:sz w:val="18"/>
              </w:rPr>
              <w:t>Port data</w:t>
            </w:r>
          </w:p>
        </w:tc>
        <w:tc>
          <w:tcPr>
            <w:tcW w:type="dxa" w:w="3950"/>
          </w:tcPr>
          <w:p>
            <w:r>
              <w:rPr>
                <w:rFonts w:ascii="Calibri" w:hAnsi="Calibri"/>
                <w:color w:val="000000"/>
                <w:sz w:val="18"/>
              </w:rPr>
              <w:t>Neutral 0.5 for insufficient/low-volume history.</w:t>
            </w:r>
          </w:p>
        </w:tc>
        <w:tc>
          <w:tcPr>
            <w:tcW w:type="dxa" w:w="3360"/>
          </w:tcPr>
          <w:p>
            <w:r>
              <w:rPr>
                <w:rFonts w:ascii="Calibri" w:hAnsi="Calibri"/>
                <w:color w:val="000000"/>
                <w:sz w:val="18"/>
              </w:rPr>
              <w:t>Avoids favoring a poorly observed port.</w:t>
            </w:r>
          </w:p>
        </w:tc>
      </w:tr>
      <w:tr>
        <w:tc>
          <w:tcPr>
            <w:tcW w:type="dxa" w:w="1500"/>
          </w:tcPr>
          <w:p>
            <w:r>
              <w:rPr>
                <w:rFonts w:ascii="Calibri" w:hAnsi="Calibri"/>
                <w:color w:val="000000"/>
                <w:sz w:val="18"/>
              </w:rPr>
              <w:t>Producer mapping</w:t>
            </w:r>
          </w:p>
        </w:tc>
        <w:tc>
          <w:tcPr>
            <w:tcW w:type="dxa" w:w="3950"/>
          </w:tcPr>
          <w:p>
            <w:r>
              <w:rPr>
                <w:rFonts w:ascii="Calibri" w:hAnsi="Calibri"/>
                <w:color w:val="000000"/>
                <w:sz w:val="18"/>
              </w:rPr>
              <w:t>Direct vs discounted transit exposure is tracked.</w:t>
            </w:r>
          </w:p>
        </w:tc>
        <w:tc>
          <w:tcPr>
            <w:tcW w:type="dxa" w:w="3360"/>
          </w:tcPr>
          <w:p>
            <w:r>
              <w:rPr>
                <w:rFonts w:ascii="Calibri" w:hAnsi="Calibri"/>
                <w:color w:val="000000"/>
                <w:sz w:val="18"/>
              </w:rPr>
              <w:t>Prevents actor-country mentions from being treated as production loss.</w:t>
            </w:r>
          </w:p>
        </w:tc>
      </w:tr>
    </w:tbl>
    <w:p>
      <w:pPr>
        <w:spacing w:after="20"/>
      </w:pPr>
    </w:p>
    <w:p>
      <w:pPr>
        <w:pStyle w:val="Heading2"/>
        <w:keepNext/>
      </w:pPr>
      <w:r>
        <w:t>Important limitations</w:t>
      </w:r>
    </w:p>
    <w:p>
      <w:pPr>
        <w:pStyle w:val="ListBullet"/>
        <w:spacing w:after="80" w:line="264" w:lineRule="auto"/>
      </w:pPr>
      <w:r>
        <w:rPr>
          <w:rFonts w:ascii="Calibri" w:hAnsi="Calibri"/>
          <w:color w:val="000000"/>
          <w:sz w:val="22"/>
        </w:rPr>
        <w:t>Sentinel severity and confidence originate from an LLM assessment of collected headlines. They are structured analyst signals, not calibrated probabilities.</w:t>
      </w:r>
    </w:p>
    <w:p>
      <w:pPr>
        <w:pStyle w:val="ListBullet"/>
        <w:spacing w:after="80" w:line="264" w:lineRule="auto"/>
      </w:pPr>
      <w:r>
        <w:rPr>
          <w:rFonts w:ascii="Calibri" w:hAnsi="Calibri"/>
          <w:color w:val="000000"/>
          <w:sz w:val="22"/>
        </w:rPr>
        <w:t>Several baselines, flows, import shares, detour days, elasticity, charter rate, and macro coefficients are constants or configurable defaults. They need governance and periodic domain review.</w:t>
      </w:r>
    </w:p>
    <w:p>
      <w:pPr>
        <w:pStyle w:val="ListBullet"/>
        <w:spacing w:after="80" w:line="264" w:lineRule="auto"/>
      </w:pPr>
      <w:r>
        <w:rPr>
          <w:rFonts w:ascii="Calibri" w:hAnsi="Calibri"/>
          <w:color w:val="000000"/>
          <w:sz w:val="22"/>
        </w:rPr>
        <w:t>Price impact, macro impact, and replenishment are intentionally simple scenario models. They omit feedback loops, inventories outside SPR, substitution, refinery yields, insurance, and policy response.</w:t>
      </w:r>
    </w:p>
    <w:p>
      <w:pPr>
        <w:pStyle w:val="ListBullet"/>
        <w:spacing w:after="80" w:line="264" w:lineRule="auto"/>
      </w:pPr>
      <w:r>
        <w:rPr>
          <w:rFonts w:ascii="Calibri" w:hAnsi="Calibri"/>
          <w:color w:val="000000"/>
          <w:sz w:val="22"/>
        </w:rPr>
        <w:t>Text matching in the procurement risk calculation is a lightweight country-to-event association, not entity resolution. The producer matrix has stronger canonicalization and direct/transit distinction.</w:t>
      </w:r>
    </w:p>
    <w:p>
      <w:pPr>
        <w:pStyle w:val="Heading2"/>
        <w:keepNext/>
      </w:pPr>
      <w:r>
        <w:t>Recommended operating use</w:t>
      </w:r>
    </w:p>
    <w:p>
      <w:pPr>
        <w:spacing w:before="0" w:after="120" w:line="264" w:lineRule="auto"/>
      </w:pPr>
      <w:r>
        <w:rPr>
          <w:rFonts w:ascii="Calibri" w:hAnsi="Calibri"/>
          <w:color w:val="000000"/>
          <w:sz w:val="22"/>
        </w:rPr>
        <w:t>Use SDI and the matrices to prioritize investigation; use procurement scores to shortlist options; use the SPR model to test whether the selected route closes the physical coverage gap. Before a material decision, validate the active event, vessel coverage, market freshness, and the scenario constants that drive the recommendation.</w:t>
      </w:r>
    </w:p>
    <w:p>
      <w:pPr>
        <w:pStyle w:val="Heading1"/>
        <w:keepNext/>
      </w:pPr>
      <w:r>
        <w:t>7. Source Map: Implemented Logic</w:t>
      </w:r>
    </w:p>
    <w:tbl>
      <w:tblPr>
        <w:tblStyle w:val="TableGrid"/>
        <w:tblW w:type="dxa" w:w="9360"/>
        <w:jc w:val="left"/>
        <w:tblLayout w:type="fixed"/>
        <w:tblLook w:firstColumn="1" w:firstRow="1" w:lastColumn="0" w:lastRow="0" w:noHBand="0" w:noVBand="1" w:val="04A0"/>
        <w:tblInd w:w="120" w:type="dxa"/>
      </w:tblPr>
      <w:tblGrid>
        <w:gridCol w:w="2450"/>
        <w:gridCol w:w="3100"/>
        <w:gridCol w:w="3260"/>
      </w:tblGrid>
      <w:tr>
        <w:tc>
          <w:tcPr>
            <w:tcW w:type="dxa" w:w="2450"/>
            <w:tcMar>
              <w:top w:w="80" w:type="dxa"/>
              <w:start w:w="120" w:type="dxa"/>
              <w:bottom w:w="80" w:type="dxa"/>
              <w:end w:w="120" w:type="dxa"/>
            </w:tcMar>
            <w:vAlign w:val="center"/>
            <w:shd w:fill="E8EEF5"/>
          </w:tcPr>
          <w:p>
            <w:pPr>
              <w:jc w:val="left"/>
            </w:pPr>
            <w:r>
              <w:rPr>
                <w:rFonts w:ascii="Calibri" w:hAnsi="Calibri"/>
                <w:b/>
                <w:color w:val="1F4D78"/>
                <w:sz w:val="18"/>
              </w:rPr>
              <w:t>Module</w:t>
            </w:r>
          </w:p>
        </w:tc>
        <w:tc>
          <w:tcPr>
            <w:tcW w:type="dxa" w:w="3100"/>
            <w:tcMar>
              <w:top w:w="80" w:type="dxa"/>
              <w:start w:w="120" w:type="dxa"/>
              <w:bottom w:w="80" w:type="dxa"/>
              <w:end w:w="120" w:type="dxa"/>
            </w:tcMar>
            <w:vAlign w:val="center"/>
            <w:shd w:fill="E8EEF5"/>
          </w:tcPr>
          <w:p>
            <w:pPr>
              <w:jc w:val="left"/>
            </w:pPr>
            <w:r>
              <w:rPr>
                <w:rFonts w:ascii="Calibri" w:hAnsi="Calibri"/>
                <w:b/>
                <w:color w:val="1F4D78"/>
                <w:sz w:val="18"/>
              </w:rPr>
              <w:t>What it supplies</w:t>
            </w:r>
          </w:p>
        </w:tc>
        <w:tc>
          <w:tcPr>
            <w:tcW w:type="dxa" w:w="3260"/>
            <w:tcMar>
              <w:top w:w="80" w:type="dxa"/>
              <w:start w:w="120" w:type="dxa"/>
              <w:bottom w:w="80" w:type="dxa"/>
              <w:end w:w="120" w:type="dxa"/>
            </w:tcMar>
            <w:vAlign w:val="center"/>
            <w:shd w:fill="E8EEF5"/>
          </w:tcPr>
          <w:p>
            <w:pPr>
              <w:jc w:val="left"/>
            </w:pPr>
            <w:r>
              <w:rPr>
                <w:rFonts w:ascii="Calibri" w:hAnsi="Calibri"/>
                <w:b/>
                <w:color w:val="1F4D78"/>
                <w:sz w:val="18"/>
              </w:rPr>
              <w:t>Key functions / sections</w:t>
            </w:r>
          </w:p>
        </w:tc>
      </w:tr>
      <w:tr>
        <w:tc>
          <w:tcPr>
            <w:tcW w:type="dxa" w:w="2450"/>
          </w:tcPr>
          <w:p>
            <w:r>
              <w:rPr>
                <w:rFonts w:ascii="Calibri" w:hAnsi="Calibri"/>
                <w:color w:val="000000"/>
                <w:sz w:val="18"/>
              </w:rPr>
              <w:t>backend/src/utils/metrics.py</w:t>
            </w:r>
          </w:p>
        </w:tc>
        <w:tc>
          <w:tcPr>
            <w:tcW w:type="dxa" w:w="3100"/>
          </w:tcPr>
          <w:p>
            <w:r>
              <w:rPr>
                <w:rFonts w:ascii="Calibri" w:hAnsi="Calibri"/>
                <w:color w:val="000000"/>
                <w:sz w:val="18"/>
              </w:rPr>
              <w:t>SDI, normalizers, price impact, resilience, flow-weighted risk</w:t>
            </w:r>
          </w:p>
        </w:tc>
        <w:tc>
          <w:tcPr>
            <w:tcW w:type="dxa" w:w="3260"/>
          </w:tcPr>
          <w:p>
            <w:r>
              <w:rPr>
                <w:rFonts w:ascii="Calibri" w:hAnsi="Calibri"/>
                <w:color w:val="000000"/>
                <w:sz w:val="18"/>
              </w:rPr>
              <w:t>supply_disruption_index; normalise_*; estimate_price_impact; compute_resilience_score</w:t>
            </w:r>
          </w:p>
        </w:tc>
      </w:tr>
      <w:tr>
        <w:tc>
          <w:tcPr>
            <w:tcW w:type="dxa" w:w="2450"/>
          </w:tcPr>
          <w:p>
            <w:r>
              <w:rPr>
                <w:rFonts w:ascii="Calibri" w:hAnsi="Calibri"/>
                <w:color w:val="000000"/>
                <w:sz w:val="18"/>
              </w:rPr>
              <w:t>backend/src/agents/modeler_agent.py</w:t>
            </w:r>
          </w:p>
        </w:tc>
        <w:tc>
          <w:tcPr>
            <w:tcW w:type="dxa" w:w="3100"/>
          </w:tcPr>
          <w:p>
            <w:r>
              <w:rPr>
                <w:rFonts w:ascii="Calibri" w:hAnsi="Calibri"/>
                <w:color w:val="000000"/>
                <w:sz w:val="18"/>
              </w:rPr>
              <w:t>Decayed events, current SDI, chokepoint/producer matrices, alternative scoring</w:t>
            </w:r>
          </w:p>
        </w:tc>
        <w:tc>
          <w:tcPr>
            <w:tcW w:type="dxa" w:w="3260"/>
          </w:tcPr>
          <w:p>
            <w:r>
              <w:rPr>
                <w:rFonts w:ascii="Calibri" w:hAnsi="Calibri"/>
                <w:color w:val="000000"/>
                <w:sz w:val="18"/>
              </w:rPr>
              <w:t>_decayed_risk; compute_current_sdi; compute_*_risk_matrix; score_alternatives</w:t>
            </w:r>
          </w:p>
        </w:tc>
      </w:tr>
      <w:tr>
        <w:tc>
          <w:tcPr>
            <w:tcW w:type="dxa" w:w="2450"/>
          </w:tcPr>
          <w:p>
            <w:r>
              <w:rPr>
                <w:rFonts w:ascii="Calibri" w:hAnsi="Calibri"/>
                <w:color w:val="000000"/>
                <w:sz w:val="18"/>
              </w:rPr>
              <w:t>backend/src/agents/fixer_agent.py</w:t>
            </w:r>
          </w:p>
        </w:tc>
        <w:tc>
          <w:tcPr>
            <w:tcW w:type="dxa" w:w="3100"/>
          </w:tcPr>
          <w:p>
            <w:r>
              <w:rPr>
                <w:rFonts w:ascii="Calibri" w:hAnsi="Calibri"/>
                <w:color w:val="000000"/>
                <w:sz w:val="18"/>
              </w:rPr>
              <w:t>Marine lead time, freight premium, procurement composite and blend handling</w:t>
            </w:r>
          </w:p>
        </w:tc>
        <w:tc>
          <w:tcPr>
            <w:tcW w:type="dxa" w:w="3260"/>
          </w:tcPr>
          <w:p>
            <w:r>
              <w:rPr>
                <w:rFonts w:ascii="Calibri" w:hAnsi="Calibri"/>
                <w:color w:val="000000"/>
                <w:sz w:val="18"/>
              </w:rPr>
              <w:t>_compute_lead_time; _compute_freight_premium; _composite_score; find_alternatives</w:t>
            </w:r>
          </w:p>
        </w:tc>
      </w:tr>
      <w:tr>
        <w:tc>
          <w:tcPr>
            <w:tcW w:type="dxa" w:w="2450"/>
          </w:tcPr>
          <w:p>
            <w:r>
              <w:rPr>
                <w:rFonts w:ascii="Calibri" w:hAnsi="Calibri"/>
                <w:color w:val="000000"/>
                <w:sz w:val="18"/>
              </w:rPr>
              <w:t>backend/src/agents/spr_agent.py</w:t>
            </w:r>
          </w:p>
        </w:tc>
        <w:tc>
          <w:tcPr>
            <w:tcW w:type="dxa" w:w="3100"/>
          </w:tcPr>
          <w:p>
            <w:r>
              <w:rPr>
                <w:rFonts w:ascii="Calibri" w:hAnsi="Calibri"/>
                <w:color w:val="000000"/>
                <w:sz w:val="18"/>
              </w:rPr>
              <w:t>Reserve coverage, demand levers, burn-down, macro scenarios</w:t>
            </w:r>
          </w:p>
        </w:tc>
        <w:tc>
          <w:tcPr>
            <w:tcW w:type="dxa" w:w="3260"/>
          </w:tcPr>
          <w:p>
            <w:r>
              <w:rPr>
                <w:rFonts w:ascii="Calibri" w:hAnsi="Calibri"/>
                <w:color w:val="000000"/>
                <w:sz w:val="18"/>
              </w:rPr>
              <w:t>calculate_spr_impact</w:t>
            </w:r>
          </w:p>
        </w:tc>
      </w:tr>
      <w:tr>
        <w:tc>
          <w:tcPr>
            <w:tcW w:type="dxa" w:w="2450"/>
          </w:tcPr>
          <w:p>
            <w:r>
              <w:rPr>
                <w:rFonts w:ascii="Calibri" w:hAnsi="Calibri"/>
                <w:color w:val="000000"/>
                <w:sz w:val="18"/>
              </w:rPr>
              <w:t>backend/src/ingestion/portwatch_trawler.py</w:t>
            </w:r>
          </w:p>
        </w:tc>
        <w:tc>
          <w:tcPr>
            <w:tcW w:type="dxa" w:w="3100"/>
          </w:tcPr>
          <w:p>
            <w:r>
              <w:rPr>
                <w:rFonts w:ascii="Calibri" w:hAnsi="Calibri"/>
                <w:color w:val="000000"/>
                <w:sz w:val="18"/>
              </w:rPr>
              <w:t>7-day vs 30-day tanker port-call congestion proxy</w:t>
            </w:r>
          </w:p>
        </w:tc>
        <w:tc>
          <w:tcPr>
            <w:tcW w:type="dxa" w:w="3260"/>
          </w:tcPr>
          <w:p>
            <w:r>
              <w:rPr>
                <w:rFonts w:ascii="Calibri" w:hAnsi="Calibri"/>
                <w:color w:val="000000"/>
                <w:sz w:val="18"/>
              </w:rPr>
              <w:t>calculate_congestion_score</w:t>
            </w:r>
          </w:p>
        </w:tc>
      </w:tr>
      <w:tr>
        <w:tc>
          <w:tcPr>
            <w:tcW w:type="dxa" w:w="2450"/>
          </w:tcPr>
          <w:p>
            <w:r>
              <w:rPr>
                <w:rFonts w:ascii="Calibri" w:hAnsi="Calibri"/>
                <w:color w:val="000000"/>
                <w:sz w:val="18"/>
              </w:rPr>
              <w:t>backend/api.py</w:t>
            </w:r>
          </w:p>
        </w:tc>
        <w:tc>
          <w:tcPr>
            <w:tcW w:type="dxa" w:w="3100"/>
          </w:tcPr>
          <w:p>
            <w:r>
              <w:rPr>
                <w:rFonts w:ascii="Calibri" w:hAnsi="Calibri"/>
                <w:color w:val="000000"/>
                <w:sz w:val="18"/>
              </w:rPr>
              <w:t>Historical backtest thresholds and lead-time verdict</w:t>
            </w:r>
          </w:p>
        </w:tc>
        <w:tc>
          <w:tcPr>
            <w:tcW w:type="dxa" w:w="3260"/>
          </w:tcPr>
          <w:p>
            <w:r>
              <w:rPr>
                <w:rFonts w:ascii="Calibri" w:hAnsi="Calibri"/>
                <w:color w:val="000000"/>
                <w:sz w:val="18"/>
              </w:rPr>
              <w:t>GET /api/backtest/{event_name}</w:t>
            </w:r>
          </w:p>
        </w:tc>
      </w:tr>
      <w:tr>
        <w:tc>
          <w:tcPr>
            <w:tcW w:type="dxa" w:w="2450"/>
          </w:tcPr>
          <w:p>
            <w:r>
              <w:rPr>
                <w:rFonts w:ascii="Calibri" w:hAnsi="Calibri"/>
                <w:color w:val="000000"/>
                <w:sz w:val="18"/>
              </w:rPr>
              <w:t>backend/src/utils/constants.py</w:t>
            </w:r>
          </w:p>
        </w:tc>
        <w:tc>
          <w:tcPr>
            <w:tcW w:type="dxa" w:w="3100"/>
          </w:tcPr>
          <w:p>
            <w:r>
              <w:rPr>
                <w:rFonts w:ascii="Calibri" w:hAnsi="Calibri"/>
                <w:color w:val="000000"/>
                <w:sz w:val="18"/>
              </w:rPr>
              <w:t>Weights, ceilings, baselines, detours, fleet and economic constants</w:t>
            </w:r>
          </w:p>
        </w:tc>
        <w:tc>
          <w:tcPr>
            <w:tcW w:type="dxa" w:w="3260"/>
          </w:tcPr>
          <w:p>
            <w:r>
              <w:rPr>
                <w:rFonts w:ascii="Calibri" w:hAnsi="Calibri"/>
                <w:color w:val="000000"/>
                <w:sz w:val="18"/>
              </w:rPr>
              <w:t>SDI_*, FIXER_*, MODELER_*, PRODUCER_*</w:t>
            </w:r>
          </w:p>
        </w:tc>
      </w:tr>
    </w:tbl>
    <w:p>
      <w:pPr>
        <w:spacing w:after="20"/>
      </w:pPr>
    </w:p>
    <w:p>
      <w:pPr>
        <w:spacing w:before="160" w:after="0" w:line="264" w:lineRule="auto"/>
      </w:pPr>
      <w:r>
        <w:rPr>
          <w:rFonts w:ascii="Calibri" w:hAnsi="Calibri"/>
          <w:color w:val="000000"/>
          <w:sz w:val="22"/>
        </w:rPr>
        <w:t>Document basis: repository inspection performed 14 July 2026. Formula descriptions reflect current code paths and defaults, not external validation of the underlying operational assumptions.</w:t>
      </w:r>
    </w:p>
    <w:sectPr w:rsidR="00FC693F" w:rsidRPr="0006063C" w:rsidSect="00034616">
      <w:headerReference w:type="default" r:id="rId9"/>
      <w:footerReference w:type="default" r:id="rId10"/>
      <w:pgSz w:w="12240" w:h="15840"/>
      <w:pgMar w:top="1080" w:right="1152" w:bottom="1080"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Internal technical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6"/>
      </w:rPr>
      <w:t>Energy Supply Chain | Algorithm Calculation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