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Prompt: Create a solution that makes mental health support more accessible to underserved groups.</w:t>
        <w:br w:type="textWrapping"/>
      </w:r>
    </w:p>
    <w:p w:rsidR="00000000" w:rsidDel="00000000" w:rsidP="00000000" w:rsidRDefault="00000000" w:rsidRPr="00000000" w14:paraId="00000002">
      <w:pPr>
        <w:rPr>
          <w:b w:val="1"/>
          <w:bCs w:val="1"/>
        </w:rPr>
      </w:pPr>
      <w:hyperlink r:id="rId6">
        <w:r w:rsidDel="00000000" w:rsidR="00000000" w:rsidRPr="00000000">
          <w:rPr>
            <w:b w:val="1"/>
            <w:bCs w:val="1"/>
            <w:color w:val="1155cc"/>
            <w:u w:val="single"/>
            <w:rtl w:val="0"/>
          </w:rPr>
          <w:t xml:space="preserve">https://www.figma.com/team_invite/redeem/27uWm7ChaQJXjuEeWzEXFr?t=CIjJpb2BbQgEMV4X-21</w:t>
        </w:r>
      </w:hyperlink>
      <w:r w:rsidDel="00000000" w:rsidR="00000000" w:rsidRPr="00000000">
        <w:rPr>
          <w:b w:val="1"/>
          <w:bCs w:val="1"/>
          <w:rtl w:val="0"/>
        </w:rPr>
        <w:t xml:space="preserv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Pr>
        <w:drawing>
          <wp:inline distB="114300" distT="114300" distL="114300" distR="114300">
            <wp:extent cx="4476750" cy="4470750"/>
            <wp:effectExtent b="0" l="0" r="0" t="0"/>
            <wp:docPr id="1" name="image1.png"/>
            <a:graphic>
              <a:graphicData uri="http://schemas.openxmlformats.org/drawingml/2006/picture">
                <pic:pic>
                  <pic:nvPicPr>
                    <pic:cNvPr id="0" name="image1.png"/>
                    <pic:cNvPicPr preferRelativeResize="0"/>
                  </pic:nvPicPr>
                  <pic:blipFill>
                    <a:blip r:embed="rId7"/>
                    <a:srcRect b="0" l="0" r="21273" t="28991"/>
                    <a:stretch>
                      <a:fillRect/>
                    </a:stretch>
                  </pic:blipFill>
                  <pic:spPr>
                    <a:xfrm>
                      <a:off x="0" y="0"/>
                      <a:ext cx="4476750" cy="4470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br w:type="textWrapping"/>
        <w:t xml:space="preserve">Feature 1: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An estimated 1 in 200 (or 37 million) people live with bipolar disorder worldwide.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Worldwide, the treatment coverage for people with bipolar disorder is low. Both men and women are often misdiagnosed. Many lack access to services and recommended interventions, especially in low- and middle-income countries (LMICs).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People with </w:t>
      </w:r>
      <w:r w:rsidDel="00000000" w:rsidR="00000000" w:rsidRPr="00000000">
        <w:rPr>
          <w:b w:val="1"/>
          <w:bCs w:val="1"/>
          <w:rtl w:val="0"/>
        </w:rPr>
        <w:t xml:space="preserve">bipolar type I</w:t>
      </w:r>
      <w:r w:rsidDel="00000000" w:rsidR="00000000" w:rsidRPr="00000000">
        <w:rPr>
          <w:rtl w:val="0"/>
        </w:rPr>
        <w:t xml:space="preserve"> disorder experience one or more manic episodes interspaced with episodes of depression, which usually become more common over time (compared with manic episodes).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People with </w:t>
      </w:r>
      <w:r w:rsidDel="00000000" w:rsidR="00000000" w:rsidRPr="00000000">
        <w:rPr>
          <w:b w:val="1"/>
          <w:bCs w:val="1"/>
          <w:rtl w:val="0"/>
        </w:rPr>
        <w:t xml:space="preserve">bipolar type II</w:t>
      </w:r>
      <w:r w:rsidDel="00000000" w:rsidR="00000000" w:rsidRPr="00000000">
        <w:rPr>
          <w:rtl w:val="0"/>
        </w:rPr>
        <w:t xml:space="preserve"> disorder have had one or more hypomanic episodes and at least one depressive episode, but no history of manic episodes.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Commonly mistaken for other mental health disorders with similar symptoms, depression, anxiety disorders, and ADHD.</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Up to 40% of people with bipolar disorder are misdiagnosed, according to a 2018 study.</w:t>
      </w:r>
    </w:p>
    <w:p w:rsidR="00000000" w:rsidDel="00000000" w:rsidP="00000000" w:rsidRDefault="00000000" w:rsidRPr="00000000" w14:paraId="0000000F">
      <w:pPr>
        <w:numPr>
          <w:ilvl w:val="0"/>
          <w:numId w:val="2"/>
        </w:numPr>
        <w:ind w:left="720" w:hanging="360"/>
        <w:rPr>
          <w:b w:val="1"/>
          <w:bCs w:val="1"/>
          <w:u w:val="none"/>
        </w:rPr>
      </w:pPr>
      <w:hyperlink r:id="rId8">
        <w:r w:rsidDel="00000000" w:rsidR="00000000" w:rsidRPr="00000000">
          <w:rPr>
            <w:b w:val="1"/>
            <w:bCs w:val="1"/>
            <w:color w:val="1155cc"/>
            <w:u w:val="single"/>
            <w:rtl w:val="0"/>
          </w:rPr>
          <w:t xml:space="preserve">https://bbrfoundation.org/content/5-minutes-recorded-speech-machine-learning-attempts-distinguish-pasychosis-related-disorders</w:t>
        </w:r>
      </w:hyperlink>
      <w:r w:rsidDel="00000000" w:rsidR="00000000" w:rsidRPr="00000000">
        <w:rPr>
          <w:b w:val="1"/>
          <w:bCs w:val="1"/>
          <w:rtl w:val="0"/>
        </w:rPr>
        <w:t xml:space="preserve"> </w:t>
      </w:r>
    </w:p>
    <w:p w:rsidR="00000000" w:rsidDel="00000000" w:rsidP="00000000" w:rsidRDefault="00000000" w:rsidRPr="00000000" w14:paraId="00000010">
      <w:pPr>
        <w:numPr>
          <w:ilvl w:val="0"/>
          <w:numId w:val="2"/>
        </w:numPr>
        <w:ind w:left="720" w:hanging="360"/>
        <w:rPr>
          <w:b w:val="1"/>
          <w:bCs w:val="1"/>
          <w:u w:val="no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Features: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720" w:firstLine="0"/>
        <w:rPr>
          <w:b w:val="1"/>
          <w:bCs w:val="1"/>
          <w:sz w:val="34"/>
          <w:szCs w:val="34"/>
        </w:rPr>
      </w:pPr>
      <w:r w:rsidDel="00000000" w:rsidR="00000000" w:rsidRPr="00000000">
        <w:rPr>
          <w:b w:val="1"/>
          <w:bCs w:val="1"/>
          <w:rtl w:val="0"/>
        </w:rPr>
        <w:br w:type="textWrapping"/>
        <w:br w:type="textWrapping"/>
        <w:br w:type="textWrapping"/>
      </w:r>
      <w:r w:rsidDel="00000000" w:rsidR="00000000" w:rsidRPr="00000000">
        <w:rPr>
          <w:b w:val="1"/>
          <w:bCs w:val="1"/>
          <w:sz w:val="34"/>
          <w:szCs w:val="34"/>
          <w:rtl w:val="0"/>
        </w:rPr>
        <w:t xml:space="preserve">MVP Feature List</w:t>
      </w:r>
    </w:p>
    <w:p w:rsidR="00000000" w:rsidDel="00000000" w:rsidP="00000000" w:rsidRDefault="00000000" w:rsidRPr="00000000" w14:paraId="00000015">
      <w:pPr>
        <w:numPr>
          <w:ilvl w:val="0"/>
          <w:numId w:val="3"/>
        </w:numPr>
        <w:spacing w:after="0" w:afterAutospacing="0"/>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1. Episode Fingerprinting Onboarding flow where the user defines what their personal mania and depression looks like — selecting from specific symptoms like overspending, hypersomnia, racing thoughts, isolation. This profile is stored in Firebase and injected into Claude's context every sixngle session so the AI knows THIS user, not a generic bipolar patient.</w:t>
      </w:r>
    </w:p>
    <w:p w:rsidR="00000000" w:rsidDel="00000000" w:rsidP="00000000" w:rsidRDefault="00000000" w:rsidRPr="00000000" w14:paraId="00000017">
      <w:pPr>
        <w:numPr>
          <w:ilvl w:val="0"/>
          <w:numId w:val="3"/>
        </w:numPr>
        <w:spacing w:after="0" w:afterAutospacing="0"/>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3. Conversational Voice Biomarker Analysis The AI companion asks the user 4-5 natural questions out loud via TTS, in a back and forth conversation. The user responds by voice. Each response is captured via expo-av and sent to Hume AI for prosody analysis: measuring speech rate, pitch variance, energy, and emotional valence. Scores are averaged across all responses and sent alongside the transcript to Claude, which cross-references the voice data against the user's self-reported mood and episode fingerprint to detect discrepancies and assess episode risk.</w:t>
      </w:r>
    </w:p>
    <w:p w:rsidR="00000000" w:rsidDel="00000000" w:rsidP="00000000" w:rsidRDefault="00000000" w:rsidRPr="00000000" w14:paraId="00000019">
      <w:pPr>
        <w:numPr>
          <w:ilvl w:val="0"/>
          <w:numId w:val="3"/>
        </w:numPr>
        <w:spacing w:after="0" w:afterAutospacing="0"/>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4. Polarity-Aware AI Companion After the voice check-in, the AI continues the conversation with full context — the user's fingerprint, today's mood check-in, and the Hume voice scores. If the user checked in as stable but voice signals elevated energy, Claude flags it and gently shifts the conversation toward grounding. Tone is automatically calibrated: calm and grounding during mania signals, warm and low-pressure during depression signals, also</w:t>
      </w:r>
    </w:p>
    <w:p w:rsidR="00000000" w:rsidDel="00000000" w:rsidP="00000000" w:rsidRDefault="00000000" w:rsidRPr="00000000" w14:paraId="0000001B">
      <w:pPr>
        <w:numPr>
          <w:ilvl w:val="0"/>
          <w:numId w:val="3"/>
        </w:numPr>
        <w:spacing w:after="0" w:afterAutospacing="0"/>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5. Prodrome Alert System Runs silently in the background against Firebase check-in history. If it detects 3+ consecutive days of bpd symptoms, it triggers a push notification alert: </w:t>
      </w:r>
      <w:r w:rsidDel="00000000" w:rsidR="00000000" w:rsidRPr="00000000">
        <w:rPr>
          <w:b w:val="1"/>
          <w:bCs w:val="1"/>
          <w:i w:val="1"/>
          <w:iCs w:val="1"/>
          <w:rtl w:val="0"/>
        </w:rPr>
        <w:t xml:space="preserve">"Based on your recent patterns, we recommend caution of an episode. Here's what we recommend."</w:t>
      </w:r>
      <w:r w:rsidDel="00000000" w:rsidR="00000000" w:rsidRPr="00000000">
        <w:rPr>
          <w:b w:val="1"/>
          <w:bCs w:val="1"/>
          <w:rtl w:val="0"/>
        </w:rPr>
        <w:t xml:space="preserve"> Powered by a Claude API call that utilizes all the data collected over the last 7 days.</w:t>
      </w:r>
    </w:p>
    <w:p w:rsidR="00000000" w:rsidDel="00000000" w:rsidP="00000000" w:rsidRDefault="00000000" w:rsidRPr="00000000" w14:paraId="0000001D">
      <w:pPr>
        <w:numPr>
          <w:ilvl w:val="0"/>
          <w:numId w:val="3"/>
        </w:numPr>
        <w:spacing w:after="0" w:afterAutospacing="0"/>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6. Medication Adherence Log User sets their medications and times during onboarding. One-tap daily confirmation. Missed doses are stored in Firebase. If 2+ doses are missed, the AI companion surfaces it naturally in the next conversation rather than sending a preachy notification. Adherence data is included in the psychiatrist report.</w:t>
      </w:r>
    </w:p>
    <w:p w:rsidR="00000000" w:rsidDel="00000000" w:rsidP="00000000" w:rsidRDefault="00000000" w:rsidRPr="00000000" w14:paraId="0000001F">
      <w:pPr>
        <w:numPr>
          <w:ilvl w:val="0"/>
          <w:numId w:val="3"/>
        </w:numPr>
        <w:spacing w:after="0" w:afterAutospacing="0"/>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7. Psychiatrist Report Export Auto-generates a clean summary covering the last 30 days: mood chart, sleep consistency graph, medication adherence rate, Hume voice score trends, and any prodrome alerts that fired. One tap to export as PDF or share directly. Claude writes a plain-language narrative summary at the top so the doctor can read it in 30 seconds.</w:t>
      </w:r>
    </w:p>
    <w:p w:rsidR="00000000" w:rsidDel="00000000" w:rsidP="00000000" w:rsidRDefault="00000000" w:rsidRPr="00000000" w14:paraId="00000021">
      <w:pPr>
        <w:ind w:left="720" w:firstLine="0"/>
        <w:rPr>
          <w:b w:val="1"/>
          <w:bCs w:val="1"/>
        </w:rPr>
      </w:pPr>
      <w:r w:rsidDel="00000000" w:rsidR="00000000" w:rsidRPr="00000000">
        <w:rPr>
          <w:b w:val="1"/>
          <w:bCs w:val="1"/>
          <w:rtl w:val="0"/>
        </w:rPr>
        <w:br w:type="textWrapping"/>
        <w:br w:type="textWrapping"/>
        <w:t xml:space="preserve">Database-  Firebase</w:t>
        <w:br w:type="textWrapping"/>
        <w:t xml:space="preserve">Actual Proj : RN Expo App</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Voice - Eleven Labs API</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Model - Sonnet 4.6 For Data Analysis</w:t>
      </w:r>
    </w:p>
    <w:p w:rsidR="00000000" w:rsidDel="00000000" w:rsidP="00000000" w:rsidRDefault="00000000" w:rsidRPr="00000000" w14:paraId="00000024">
      <w:pPr>
        <w:ind w:left="720" w:firstLine="0"/>
        <w:rPr>
          <w:b w:val="1"/>
          <w:bCs w:val="1"/>
        </w:rPr>
      </w:pPr>
      <w:r w:rsidDel="00000000" w:rsidR="00000000" w:rsidRPr="00000000">
        <w:rPr>
          <w:rtl w:val="0"/>
        </w:rPr>
      </w:r>
    </w:p>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UI Aesthtic:</w:t>
        <w:br w:type="textWrapping"/>
        <w:t xml:space="preserve">App amend Anchor so model the ui after a dark blue, ocean fluid aesthetic.</w:t>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Target market (underserved communities):</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Young adults who are either undiagnosed or misdiagnosed</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People without consistent access to mental health care (low income individuals, uninsured/underinsured, long wait times (especially for bpd as there are limited specialists)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Cultural stigma within families causes a lack of communication about mental health / overworked students.</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If these people suspect something, they still won’t be able to act on it.</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Speech:</w:t>
        <w:br w:type="textWrapping"/>
        <w:br w:type="textWrapping"/>
        <w:t xml:space="preserve">Slide 2: </w:t>
        <w:br w:type="textWrapping"/>
        <w:br w:type="textWrapping"/>
        <w:t xml:space="preserve">A: Here's the problem. 1 in 200 people worldwide suffer with bipolar disorder. That's around 37 million people globally. 40 percent of these individuals have been previously misdiagnosed, and many others lack access to appropriate support, especially in underserved communities. Some choose to ignore the signs; others don’t recognize them. In summary, Bipolar Disorder support has substantial room for growth. </w:t>
      </w:r>
    </w:p>
    <w:p w:rsidR="00000000" w:rsidDel="00000000" w:rsidP="00000000" w:rsidRDefault="00000000" w:rsidRPr="00000000" w14:paraId="00000055">
      <w:pPr>
        <w:rPr>
          <w:b w:val="1"/>
          <w:bCs w:val="1"/>
        </w:rPr>
      </w:pPr>
      <w:r w:rsidDel="00000000" w:rsidR="00000000" w:rsidRPr="00000000">
        <w:rPr>
          <w:b w:val="1"/>
          <w:bCs w:val="1"/>
          <w:rtl w:val="0"/>
        </w:rPr>
        <w:t xml:space="preserve"> </w:t>
        <w:br w:type="textWrapping"/>
        <w:t xml:space="preserve">Slide 3:</w:t>
        <w:br w:type="textWrapping"/>
        <w:br w:type="textWrapping"/>
        <w:t xml:space="preserve">This leads us to our target market. Our product primarily focuses on underserved communities, particularly young adults who are either undiagnosed or misdiagnosed. We also aim to serve individuals without access to mental health care, including those who are low-income, uninsured, or face long wait times due to a shortage of BPD specialists. Finally, we address an often overlooked group: students from families where mental health is neglected and carries cultural stigma. </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Slide 4: </w:t>
        <w:br w:type="textWrapping"/>
      </w:r>
    </w:p>
    <w:p w:rsidR="00000000" w:rsidDel="00000000" w:rsidP="00000000" w:rsidRDefault="00000000" w:rsidRPr="00000000" w14:paraId="00000059">
      <w:pPr>
        <w:rPr>
          <w:b w:val="1"/>
          <w:bCs w:val="1"/>
        </w:rPr>
      </w:pPr>
      <w:r w:rsidDel="00000000" w:rsidR="00000000" w:rsidRPr="00000000">
        <w:rPr>
          <w:b w:val="1"/>
          <w:bCs w:val="1"/>
          <w:rtl w:val="0"/>
        </w:rPr>
        <w:t xml:space="preserve">Slide 5: </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This is our prospective timeline for our future plans. Phase 1: The idea was formed this morning when we were brainstorming for the hackathon. Immediately, we began the process of creating it. Next we plan on shipping the minimum viable product, validating core features and establishing a social media presence for marketing purposes. Phase 2: We are going to open beta for testing and limited public use. We will propose partnerships with organizations such as the Depression and Bipolar Support Alliance and the National Alliance on Mental Illness (NAMI). In order to generate funds to further develop our product, we plan on launching in-app ads to keep our application cost-free. We also will attend local conferences such as NAMI’s Eastside Youth Mental Health Conference here in Redmond, Washington. Phase 3: We are going to add two new features: A multilingual setting for global use and an Offline or Low-Data mode for groups without access to strong internet. Then we will initiate AMDMH. We will also look for investors and further partnerships for scaling. Phase 4: We are going to lead AMDMH conferences globally. We also aim to get a WHO endorsement. Next, we want to hire medical professionals and clinical advisors for further development. Phase 5: We want to become global leaders in BPD treatment. Our goals include reaching 1 million users, consistent contribution to the BPD community, and 10k+ patients being supported by AMDMH. About 75% of the revenue generated from our product will be spent in AMDMH operations, including impactful conferences, patient support, and providing medications.</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figma.com/team_invite/redeem/27uWm7ChaQJXjuEeWzEXFr?t=CIjJpb2BbQgEMV4X-21" TargetMode="External"/><Relationship Id="rId7" Type="http://schemas.openxmlformats.org/officeDocument/2006/relationships/image" Target="media/image1.png"/><Relationship Id="rId8" Type="http://schemas.openxmlformats.org/officeDocument/2006/relationships/hyperlink" Target="https://bbrfoundation.org/content/5-minutes-recorded-speech-machine-learning-attempts-distinguish-pasychosis-related-dis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