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654E71"/>
    <w:rsid w:val="217E09BB"/>
    <w:rsid w:val="21BA320B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1902</Words>
  <Characters>3266</Characters>
  <Lines>0</Lines>
  <Paragraphs>0</Paragraphs>
  <TotalTime>2</TotalTime>
  <ScaleCrop>false</ScaleCrop>
  <LinksUpToDate>false</LinksUpToDate>
  <CharactersWithSpaces>3447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2022-11-16T13:25:13Z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