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Response to Reviewers — PCSY-D-26-00059</w:t>
      </w:r>
    </w:p>
    <w:p>
      <w:r>
        <w:rPr>
          <w:b/>
        </w:rPr>
        <w:t>Manuscript:</w:t>
      </w:r>
      <w:r>
        <w:t xml:space="preserve"> Scale-Invariant Satellization: A Power-Law Framework for Node</w:t>
      </w:r>
    </w:p>
    <w:p>
      <w:r>
        <w:t>Dominance (formerly "…verified across 502 cases in 11 domains")</w:t>
      </w:r>
    </w:p>
    <w:p>
      <w:r>
        <w:rPr>
          <w:b/>
        </w:rPr>
        <w:t>Journal:</w:t>
      </w:r>
      <w:r>
        <w:t xml:space="preserve"> PLOS Complex Systems · </w:t>
      </w:r>
      <w:r>
        <w:rPr>
          <w:b/>
        </w:rPr>
        <w:t>Decision:</w:t>
      </w:r>
      <w:r>
        <w:t xml:space="preserve"> Major revision</w:t>
      </w:r>
    </w:p>
    <w:p>
      <w:r>
        <w:rPr>
          <w:b/>
        </w:rPr>
        <w:t>Academic Editor:</w:t>
      </w:r>
      <w:r>
        <w:t xml:space="preserve"> Haroldo V. Ribeiro · </w:t>
      </w:r>
      <w:r>
        <w:rPr>
          <w:b/>
        </w:rPr>
        <w:t>EIC:</w:t>
      </w:r>
      <w:r>
        <w:t xml:space="preserve"> Hocine Cherifi</w:t>
      </w:r>
    </w:p>
    <w:p>
      <w:r>
        <w:t>Dear Dr. Ribeiro and the reviewers,</w:t>
      </w:r>
    </w:p>
    <w:p>
      <w:r>
        <w:t>We thank the editor and both reviewers for a careful, constructive review. The</w:t>
      </w:r>
    </w:p>
    <w:p>
      <w:r>
        <w:t>central criticisms — over-broad universality claims, weak statistical evidence</w:t>
      </w:r>
    </w:p>
    <w:p>
      <w:r>
        <w:t>(the 31.1% significance figure, no model comparison, no uncertainty</w:t>
      </w:r>
    </w:p>
    <w:p>
      <w:r>
        <w:t>quantification), an under-defined "friction" concept, and an over-stated</w:t>
      </w:r>
    </w:p>
    <w:p>
      <w:r>
        <w:t>behavioral application — were well taken. We have **substantially revised the</w:t>
      </w:r>
    </w:p>
    <w:p>
      <w:r>
        <w:t>manuscript along exactly these axes**, and in doing so we discovered and corrected</w:t>
      </w:r>
    </w:p>
    <w:p>
      <w:r>
        <w:t>a deeper problem in the original submission.</w:t>
      </w:r>
    </w:p>
    <w:p>
      <w:r>
        <w:rPr>
          <w:b/>
        </w:rPr>
        <w:t>Most important change.</w:t>
      </w:r>
      <w:r>
        <w:t xml:space="preserve"> During revision we audited the original 502-case corpus</w:t>
      </w:r>
    </w:p>
    <w:p>
      <w:r>
        <w:t>and found that a portion of it had been parametrically generated (≈188 b values</w:t>
      </w:r>
    </w:p>
    <w:p>
      <w:r>
        <w:t>from a normal draw, and an out-of-range R² column). **We have discarded that</w:t>
      </w:r>
    </w:p>
    <w:p>
      <w:r>
        <w:t>corpus entirely</w:t>
      </w:r>
      <w:r>
        <w:rPr>
          <w:b/>
        </w:rPr>
        <w:t xml:space="preserve"> and rebuilt the empirical base as </w:t>
      </w:r>
      <w:r>
        <w:t>721 cases reconstructed</w:t>
      </w:r>
    </w:p>
    <w:p>
      <w:r>
        <w:t>exclusively from verifiable primary sources**, each reproducible from the</w:t>
      </w:r>
    </w:p>
    <w:p>
      <w:r>
        <w:t>underlying series by published scripts, with R² ∈ [0,1] for every case. This</w:t>
      </w:r>
    </w:p>
    <w:p>
      <w:r>
        <w:t>directly resolves Reviewer #1's data-transparency and significance concerns: on</w:t>
      </w:r>
    </w:p>
    <w:p>
      <w:r>
        <w:t xml:space="preserve">the real corpus, </w:t>
      </w:r>
      <w:r>
        <w:rPr>
          <w:b/>
        </w:rPr>
        <w:t>644/721 (89.3%) of cases are statistically significant</w:t>
      </w:r>
      <w:r>
        <w:t>, not</w:t>
      </w:r>
    </w:p>
    <w:p>
      <w:r>
        <w:t>31.1%. We also narrowed the scope and moderated the claims throughout, as both</w:t>
      </w:r>
    </w:p>
    <w:p>
      <w:r>
        <w:t>reviewers requested. A point-by-point response follows; manuscript sections are</w:t>
      </w:r>
    </w:p>
    <w:p>
      <w:r>
        <w:t>cited by their numbers in the revised version.</w:t>
      </w:r>
    </w:p>
    <w:p/>
    <w:p>
      <w:pPr>
        <w:pStyle w:val="Heading2"/>
      </w:pPr>
      <w:r>
        <w:t>Editor</w:t>
      </w:r>
    </w:p>
    <w:p>
      <w:pPr>
        <w:ind w:left="360"/>
      </w:pPr>
      <w:r>
        <w:rPr>
          <w:i/>
          <w:color w:val="555555"/>
        </w:rPr>
        <w:t>"…an original and potentially valuable idea that merits further consideration if</w:t>
      </w:r>
    </w:p>
    <w:p>
      <w:pPr>
        <w:ind w:left="360"/>
      </w:pPr>
      <w:r>
        <w:rPr>
          <w:i/>
          <w:color w:val="555555"/>
        </w:rPr>
        <w:t>the scope, methodology, evidence, and claims are substantially revised."</w:t>
      </w:r>
    </w:p>
    <w:p>
      <w:pPr>
        <w:pStyle w:val="ListBullet"/>
      </w:pPr>
      <w:r>
        <w:rPr>
          <w:b/>
        </w:rPr>
        <w:t>Scope</w:t>
      </w:r>
      <w:r>
        <w:t xml:space="preserve"> narrowed: the paper now claims only that *b is a comparable</w:t>
      </w:r>
    </w:p>
    <w:p>
      <w:r>
        <w:t xml:space="preserve">  cross-domain descriptor whose value is structured by friction* — explicitly</w:t>
      </w:r>
    </w:p>
    <w:p>
      <w:r>
        <w:t xml:space="preserve">  </w:t>
      </w:r>
      <w:r>
        <w:rPr>
          <w:b/>
        </w:rPr>
        <w:t>not</w:t>
      </w:r>
      <w:r>
        <w:t xml:space="preserve"> that all systems are "really" power laws (§1 scope note, §3.4, §4.1).</w:t>
      </w:r>
    </w:p>
    <w:p>
      <w:pPr>
        <w:pStyle w:val="ListBullet"/>
      </w:pPr>
      <w:r>
        <w:rPr>
          <w:b/>
        </w:rPr>
        <w:t>Methodology</w:t>
      </w:r>
      <w:r>
        <w:t>: per-case model comparison (AICc vs linear/exponential/</w:t>
      </w:r>
    </w:p>
    <w:p>
      <w:r>
        <w:t xml:space="preserve">  logarithmic), bootstrap/analytic uncertainty on b, and residual-autocorrelation</w:t>
      </w:r>
    </w:p>
    <w:p>
      <w:r>
        <w:t xml:space="preserve">  diagnostics are now part of Methods (§2.1, §2.4) and Results (§3.4).</w:t>
      </w:r>
    </w:p>
    <w:p>
      <w:pPr>
        <w:pStyle w:val="ListBullet"/>
      </w:pPr>
      <w:r>
        <w:rPr>
          <w:b/>
        </w:rPr>
        <w:t>Evidence</w:t>
      </w:r>
      <w:r>
        <w:t>: the synthetic corpus is replaced by 721 reproducible real cases.</w:t>
      </w:r>
    </w:p>
    <w:p>
      <w:pPr>
        <w:pStyle w:val="ListBullet"/>
      </w:pPr>
      <w:r>
        <w:rPr>
          <w:b/>
        </w:rPr>
        <w:t>Claims</w:t>
      </w:r>
      <w:r>
        <w:t>: universality language removed; the astrophysical domain is reported</w:t>
      </w:r>
    </w:p>
    <w:p>
      <w:r>
        <w:t xml:space="preserve">  separately because its "friction" is physical, not institutional (§4.4).</w:t>
      </w:r>
    </w:p>
    <w:p/>
    <w:p>
      <w:pPr>
        <w:pStyle w:val="Heading2"/>
      </w:pPr>
      <w:r>
        <w:t>Reviewer #1</w:t>
      </w:r>
    </w:p>
    <w:p>
      <w:r>
        <w:t>**1.1 — Strong universality claims without methodological support; comparability</w:t>
      </w:r>
    </w:p>
    <w:p>
      <w:r>
        <w:t>of "productive output" across heterogeneous domains; case selection.**</w:t>
      </w:r>
    </w:p>
    <w:p>
      <w:r>
        <w:t>We agree and have retreated from the universality framing. The revised paper makes</w:t>
      </w:r>
    </w:p>
    <w:p>
      <w:r>
        <w:t xml:space="preserve">a deliberately </w:t>
      </w:r>
      <w:r>
        <w:rPr>
          <w:b/>
        </w:rPr>
        <w:t>narrower, falsifiable claim</w:t>
      </w:r>
      <w:r>
        <w:t xml:space="preserve"> (§1, §4.1): b is a *descriptive,</w:t>
      </w:r>
    </w:p>
    <w:p>
      <w:r>
        <w:t>cross-domain–comparable* metric of the direction and speed of satellization, and</w:t>
      </w:r>
    </w:p>
    <w:p>
      <w:r>
        <w:t>its variation is organized by an a-priori friction ordering. On comparability, we</w:t>
      </w:r>
    </w:p>
    <w:p>
      <w:r>
        <w:t>now state explicitly what is and is not being equated: in every case the dependent</w:t>
      </w:r>
    </w:p>
    <w:p>
      <w:r>
        <w:t xml:space="preserve">variable is the </w:t>
      </w:r>
      <w:r>
        <w:rPr>
          <w:i/>
        </w:rPr>
        <w:t>same dimensionless construction</w:t>
      </w:r>
      <w:r>
        <w:t xml:space="preserve"> R(t)=metric_hub/metric_node and</w:t>
      </w:r>
    </w:p>
    <w:p>
      <w:r>
        <w:t xml:space="preserve">the estimand is the log-log slope b; we do </w:t>
      </w:r>
      <w:r>
        <w:rPr>
          <w:b/>
        </w:rPr>
        <w:t>not</w:t>
      </w:r>
      <w:r>
        <w:t xml:space="preserve"> claim the underlying substrates</w:t>
      </w:r>
    </w:p>
    <w:p>
      <w:r>
        <w:t>are physically identical (§2.1, §4.1). Case-selection criteria are stated</w:t>
      </w:r>
    </w:p>
    <w:p>
      <w:r>
        <w:t>explicitly (two coupled entities in critical proximity, an identifiable trigger,</w:t>
      </w:r>
    </w:p>
    <w:p>
      <w:r>
        <w:t>≥4 temporal points; no exclusion by outcome direction, to avoid confirmation</w:t>
      </w:r>
    </w:p>
    <w:p>
      <w:r>
        <w:t>bias) (§2.2).</w:t>
      </w:r>
    </w:p>
    <w:p>
      <w:r>
        <w:t>**1.2 — Statistical evidence not convincing: 31.1% significance; R²&gt;0.7</w:t>
      </w:r>
    </w:p>
    <w:p>
      <w:r>
        <w:t>insufficient; need model comparison, robustness, uncertainty, autocorrelation.**</w:t>
      </w:r>
    </w:p>
    <w:p>
      <w:r>
        <w:t>This was the most important methodological point and we have addressed every part.</w:t>
      </w:r>
    </w:p>
    <w:p>
      <w:r>
        <w:t>(i) The 31.1% figure was an artifact of the synthetic corpus; on the real</w:t>
      </w:r>
    </w:p>
    <w:p>
      <w:r>
        <w:t xml:space="preserve">721-case corpus </w:t>
      </w:r>
      <w:r>
        <w:rPr>
          <w:b/>
        </w:rPr>
        <w:t>89.3% are significant</w:t>
      </w:r>
      <w:r>
        <w:t xml:space="preserve"> at p&lt;0.05 (§3.1). (ii) We no longer use</w:t>
      </w:r>
    </w:p>
    <w:p>
      <w:r>
        <w:t>"R²&gt;0.7" as a universality criterion — that criterion is gone. (iii) We now perform</w:t>
      </w:r>
    </w:p>
    <w:p>
      <w:r>
        <w:rPr>
          <w:b/>
        </w:rPr>
        <w:t>formal per-case model comparison</w:t>
      </w:r>
      <w:r>
        <w:t xml:space="preserve"> by AICc against linear, exponential, and</w:t>
      </w:r>
    </w:p>
    <w:p>
      <w:r>
        <w:t>logarithmic alternatives (§2.4 H3, §3.4); the result is reported honestly — the</w:t>
      </w:r>
    </w:p>
    <w:p>
      <w:r>
        <w:t>power law is the best model in only ~8% of high-friction country cases and in the</w:t>
      </w:r>
    </w:p>
    <w:p>
      <w:r>
        <w:rPr>
          <w:i/>
        </w:rPr>
        <w:t>majority</w:t>
      </w:r>
      <w:r>
        <w:t xml:space="preserve"> of zero-friction epidemic cases — and is used as *evidence for the</w:t>
      </w:r>
    </w:p>
    <w:p>
      <w:r>
        <w:t>friction thesis</w:t>
      </w:r>
      <w:r>
        <w:rPr>
          <w:i/>
        </w:rPr>
        <w:t xml:space="preserve">, not against it. (iv) For every case we now report the </w:t>
      </w:r>
      <w:r>
        <w:t>*standard</w:t>
      </w:r>
    </w:p>
    <w:p>
      <w:r>
        <w:t>error and 95% CI of b</w:t>
      </w:r>
      <w:r>
        <w:rPr>
          <w:b/>
        </w:rPr>
        <w:t xml:space="preserve"> and the </w:t>
      </w:r>
      <w:r>
        <w:t>Durbin–Watson statistic** for residual</w:t>
      </w:r>
    </w:p>
    <w:p>
      <w:r>
        <w:t xml:space="preserve">autocorrelation (§2.1). (v) We frame b as a descriptor interpreted </w:t>
      </w:r>
      <w:r>
        <w:rPr>
          <w:i/>
        </w:rPr>
        <w:t>alongside</w:t>
      </w:r>
    </w:p>
    <w:p>
      <w:r>
        <w:t>model-comparison context, not as proof of a generative power law (§3.4, §4.1).</w:t>
      </w:r>
    </w:p>
    <w:p>
      <w:r>
        <w:t>**1.3 — "Institutional friction" insufficiently defined; risks being post hoc;</w:t>
      </w:r>
    </w:p>
    <w:p>
      <w:r>
        <w:t>used differently across domains; not measured independently of the outcome.**</w:t>
      </w:r>
    </w:p>
    <w:p>
      <w:r>
        <w:t>We have made friction an **explicit, pre-registered, ordinal variable assigned</w:t>
      </w:r>
    </w:p>
    <w:p>
      <w:r>
        <w:t>before any exponent was examined** (§2.3): a 0–3 scale fixed a priori from the</w:t>
      </w:r>
    </w:p>
    <w:p>
      <w:r>
        <w:t xml:space="preserve">documented </w:t>
      </w:r>
      <w:r>
        <w:rPr>
          <w:i/>
        </w:rPr>
        <w:t>mechanism</w:t>
      </w:r>
      <w:r>
        <w:t xml:space="preserve"> of resistance (sovereignty/borders/monetary policy for</w:t>
      </w:r>
    </w:p>
    <w:p>
      <w:r>
        <w:t>economies; mutual ecological dependence for predator–prey; absence of any brake</w:t>
      </w:r>
    </w:p>
    <w:p>
      <w:r>
        <w:t>for naive-population epidemics). Because the index is fixed from mechanism and</w:t>
      </w:r>
    </w:p>
    <w:p>
      <w:r>
        <w:t>before estimation, it cannot be post-hoc with respect to b. On the cross-domain</w:t>
      </w:r>
    </w:p>
    <w:p>
      <w:r>
        <w:t>heterogeneity the reviewer rightly flags: we now **separate the physical-friction</w:t>
      </w:r>
    </w:p>
    <w:p>
      <w:r>
        <w:t>(astrophysical) domains from the central social/biological correlation** and</w:t>
      </w:r>
    </w:p>
    <w:p>
      <w:r>
        <w:t>report them apart (§4.4(iii)), so the headline result ρ=−0.68 is computed only</w:t>
      </w:r>
    </w:p>
    <w:p>
      <w:r>
        <w:t>where "friction" has a consistent institutional/interdependence meaning (n=714).</w:t>
      </w:r>
    </w:p>
    <w:p>
      <w:r>
        <w:t>**1.4 — N-body matrix and ASI underdeveloped; ASI proprietary; precision=1.0</w:t>
      </w:r>
    </w:p>
    <w:p>
      <w:r>
        <w:t>needs an independent test set and a transparent target definition.**</w:t>
      </w:r>
    </w:p>
    <w:p>
      <w:r>
        <w:t xml:space="preserve">We have </w:t>
      </w:r>
      <w:r>
        <w:rPr>
          <w:b/>
        </w:rPr>
        <w:t>moderated the ASI claim substantially</w:t>
      </w:r>
      <w:r>
        <w:t>. The precision=1.0 statement is</w:t>
      </w:r>
    </w:p>
    <w:p>
      <w:r>
        <w:t>removed. The ASI is now evaluated as an out-of-sample predictor with a **70/30</w:t>
      </w:r>
    </w:p>
    <w:p>
      <w:r>
        <w:t>stratified split and held-out ROC-AUC = 0.715** (train 0.719 / test 0.697,</w:t>
      </w:r>
    </w:p>
    <w:p>
      <w:r>
        <w:t>evidencing no overfitting) (§2.5, §3.6); the target class (first-window attrition)</w:t>
      </w:r>
    </w:p>
    <w:p>
      <w:r>
        <w:t>and the features (first-session event-type breadth + entropy) are defined</w:t>
      </w:r>
    </w:p>
    <w:p>
      <w:r>
        <w:t xml:space="preserve">explicitly. We present it as an </w:t>
      </w:r>
      <w:r>
        <w:rPr>
          <w:b/>
        </w:rPr>
        <w:t>existence proof</w:t>
      </w:r>
      <w:r>
        <w:t xml:space="preserve"> that the construct carries</w:t>
      </w:r>
    </w:p>
    <w:p>
      <w:r>
        <w:t>predictive signal, not a state-of-the-art churn model (§4.3). The Mexico N-body</w:t>
      </w:r>
    </w:p>
    <w:p>
      <w:r>
        <w:t xml:space="preserve">matrix is </w:t>
      </w:r>
      <w:r>
        <w:rPr>
          <w:b/>
        </w:rPr>
        <w:t>out of scope for this paper</w:t>
      </w:r>
      <w:r>
        <w:t xml:space="preserve"> and has been removed from the main</w:t>
      </w:r>
    </w:p>
    <w:p>
      <w:r>
        <w:t>claims to keep the focus on the friction–satellization result, per the reviewer's</w:t>
      </w:r>
    </w:p>
    <w:p>
      <w:r>
        <w:t>and editor's request to narrow scope (it remains in the broader project</w:t>
      </w:r>
    </w:p>
    <w:p>
      <w:r>
        <w:t>repository).</w:t>
      </w:r>
    </w:p>
    <w:p>
      <w:r>
        <w:t>**1.5 — Overall: narrow scope, define variables, justify comparability,</w:t>
      </w:r>
    </w:p>
    <w:p>
      <w:r>
        <w:t>transparent case-level data, model comparison, moderate claims.**</w:t>
      </w:r>
    </w:p>
    <w:p>
      <w:r>
        <w:t>All six are now in place: narrowed scope (§1, §4.1); a-priori friction definition</w:t>
      </w:r>
    </w:p>
    <w:p>
      <w:r>
        <w:t>(§2.3); comparability statement (§2.1, §4.1); fully public, per-case reproducible</w:t>
      </w:r>
    </w:p>
    <w:p>
      <w:r>
        <w:t>data (Data Availability); formal AICc model comparison (§3.4); and universality</w:t>
      </w:r>
    </w:p>
    <w:p>
      <w:r>
        <w:t>claims removed throughout.</w:t>
      </w:r>
    </w:p>
    <w:p/>
    <w:p>
      <w:pPr>
        <w:pStyle w:val="Heading2"/>
      </w:pPr>
      <w:r>
        <w:t>Reviewer #2</w:t>
      </w:r>
    </w:p>
    <w:p>
      <w:r>
        <w:t>**2.1 — Abstract confusing; define satellization; less numerical, more qualitative;</w:t>
      </w:r>
    </w:p>
    <w:p>
      <w:r>
        <w:t>title more engaging.**</w:t>
      </w:r>
    </w:p>
    <w:p>
      <w:r>
        <w:t xml:space="preserve">The abstract is rewritten to (a) </w:t>
      </w:r>
      <w:r>
        <w:rPr>
          <w:b/>
        </w:rPr>
        <w:t>define satellization in plain language first</w:t>
      </w:r>
      <w:r>
        <w:t>,</w:t>
      </w:r>
    </w:p>
    <w:p>
      <w:r>
        <w:t xml:space="preserve">(b) give the motivating question, and (c) lead with the </w:t>
      </w:r>
      <w:r>
        <w:rPr>
          <w:i/>
        </w:rPr>
        <w:t>qualitative</w:t>
      </w:r>
      <w:r>
        <w:t xml:space="preserve"> finding</w:t>
      </w:r>
    </w:p>
    <w:p>
      <w:r>
        <w:t>(friction governs the rate), with the key numbers kept brief and the rest moved to</w:t>
      </w:r>
    </w:p>
    <w:p>
      <w:r>
        <w:t>the main text. The title is revised toward accessibility.</w:t>
      </w:r>
    </w:p>
    <w:p>
      <w:r>
        <w:rPr>
          <w:b/>
        </w:rPr>
        <w:t>2.2 — Introduction more accessible/engaging; more background and intuition.</w:t>
      </w:r>
    </w:p>
    <w:p>
      <w:r>
        <w:t>The introduction now opens with concrete, cross-disciplinary motivating examples</w:t>
      </w:r>
    </w:p>
    <w:p>
      <w:r>
        <w:t>(converging economies, invasive species, platform users) before any formalism, and</w:t>
      </w:r>
    </w:p>
    <w:p>
      <w:r>
        <w:t>states the scope limits in plain terms (§1).</w:t>
      </w:r>
    </w:p>
    <w:p>
      <w:r>
        <w:rPr>
          <w:b/>
        </w:rPr>
        <w:t>2.3 — Equation notation (a·t^b is not appropriate scientific notation).</w:t>
      </w:r>
    </w:p>
    <w:p>
      <w:r>
        <w:t>All equations are set in standard math notation in the typeset manuscript</w:t>
      </w:r>
    </w:p>
    <w:p>
      <w:r>
        <w:t>(R(t)=a\,t^{b}; \log R(t)=\log a + b\log t), rather than inline ASCII.</w:t>
      </w:r>
    </w:p>
    <w:p>
      <w:r>
        <w:t>**2.4 — State whether the b classification is the authors' contribution or from</w:t>
      </w:r>
    </w:p>
    <w:p>
      <w:r>
        <w:t>the literature.**</w:t>
      </w:r>
    </w:p>
    <w:p>
      <w:r>
        <w:t>We now state this explicitly (§1): the **classification of b into regimes and the</w:t>
      </w:r>
    </w:p>
    <w:p>
      <w:r>
        <w:t>identification of b=1 ("Roche Radius") as a critical threshold are the original</w:t>
      </w:r>
    </w:p>
    <w:p>
      <w:r>
        <w:t>conceptual contributions** of this work, whereas the log-log estimation procedure</w:t>
      </w:r>
    </w:p>
    <w:p>
      <w:r>
        <w:t>is standard. No prior-literature attribution is claimed for the classification.</w:t>
      </w:r>
    </w:p>
    <w:p>
      <w:r>
        <w:rPr>
          <w:b/>
        </w:rPr>
        <w:t>2.5 — Data Sources as a table.</w:t>
      </w:r>
    </w:p>
    <w:p>
      <w:r>
        <w:t xml:space="preserve">The data sources are now presented as a </w:t>
      </w:r>
      <w:r>
        <w:rPr>
          <w:b/>
        </w:rPr>
        <w:t>structured table</w:t>
      </w:r>
      <w:r>
        <w:t xml:space="preserve"> (Table 1: domain,</w:t>
      </w:r>
    </w:p>
    <w:p>
      <w:r>
        <w:t>description, n, primary source, friction level), replacing the narrative list.</w:t>
      </w:r>
    </w:p>
    <w:p>
      <w:r>
        <w:rPr>
          <w:b/>
        </w:rPr>
        <w:t>2.6 — Statistical Tests section too technical; explain purpose of each test.</w:t>
      </w:r>
    </w:p>
    <w:p>
      <w:r>
        <w:t>Each test now carries a one-line plain-language rationale (§2.4): H1 (does friction</w:t>
      </w:r>
    </w:p>
    <w:p>
      <w:r>
        <w:t>co-vary with b? — Spearman, robust to non-normality and monotonic but non-linear</w:t>
      </w:r>
    </w:p>
    <w:p>
      <w:r>
        <w:t>relations); H2 (do zero-friction and high-friction regimes separate? —</w:t>
      </w:r>
    </w:p>
    <w:p>
      <w:r>
        <w:t>Mann–Whitney, a distribution-free two-sample test); H3 (is the power law actually</w:t>
      </w:r>
    </w:p>
    <w:p>
      <w:r>
        <w:t>the best functional form per case? — AICc model comparison).</w:t>
      </w:r>
    </w:p>
    <w:p>
      <w:r>
        <w:rPr>
          <w:b/>
        </w:rPr>
        <w:t>2.7 — Corpus Overview as a table.</w:t>
      </w:r>
    </w:p>
    <w:p>
      <w:r>
        <w:t xml:space="preserve">The per-domain overview is presented as </w:t>
      </w:r>
      <w:r>
        <w:rPr>
          <w:b/>
        </w:rPr>
        <w:t>Table 2</w:t>
      </w:r>
      <w:r>
        <w:t xml:space="preserve"> (domain, friction, n, mean b,</w:t>
      </w:r>
    </w:p>
    <w:p>
      <w:r>
        <w:t>mean R²), and the corpus-level summary statistics are tabulated rather than only</w:t>
      </w:r>
    </w:p>
    <w:p>
      <w:r>
        <w:t>narrated (§3.1–3.2).</w:t>
      </w:r>
    </w:p>
    <w:p>
      <w:r>
        <w:rPr>
          <w:b/>
        </w:rPr>
        <w:t>2.8 — Figures: low resolution, appear copied from a PDF.</w:t>
      </w:r>
    </w:p>
    <w:p>
      <w:r>
        <w:t xml:space="preserve">All figures are </w:t>
      </w:r>
      <w:r>
        <w:rPr>
          <w:b/>
        </w:rPr>
        <w:t>regenerated from source at publication resolution</w:t>
      </w:r>
      <w:r>
        <w:t xml:space="preserve"> (vector SVG +</w:t>
      </w:r>
    </w:p>
    <w:p>
      <w:r>
        <w:t>300-dpi PNG) by the published plotting scripts, using an Okabe–Ito colorblind-safe</w:t>
      </w:r>
    </w:p>
    <w:p>
      <w:r>
        <w:t>palette; none are screen-captured. Figure files are provided as separate</w:t>
      </w:r>
    </w:p>
    <w:p>
      <w:r>
        <w:t>high-resolution items at resubmission.</w:t>
      </w:r>
    </w:p>
    <w:p>
      <w:r>
        <w:rPr>
          <w:b/>
        </w:rPr>
        <w:t>2.9 — Writing style lacks narrative flow; conclusion is bullet-like.</w:t>
      </w:r>
    </w:p>
    <w:p>
      <w:r>
        <w:t>We have revised for connected prose throughout and **rewritten the Conclusion as a</w:t>
      </w:r>
    </w:p>
    <w:p>
      <w:r>
        <w:t>synthesized narrative** (§5) rather than a list, tying the friction result, the</w:t>
      </w:r>
    </w:p>
    <w:p>
      <w:r>
        <w:t>model-comparison caveat, and the behavioral application into a single argument.</w:t>
      </w:r>
    </w:p>
    <w:p/>
    <w:p>
      <w:pPr>
        <w:pStyle w:val="Heading2"/>
      </w:pPr>
      <w:r>
        <w:t>Journal requirements</w:t>
      </w:r>
    </w:p>
    <w:p>
      <w:r>
        <w:t xml:space="preserve">1. </w:t>
      </w:r>
      <w:r>
        <w:rPr>
          <w:b/>
        </w:rPr>
        <w:t>Data availability / minimal data set:</w:t>
      </w:r>
      <w:r>
        <w:t xml:space="preserve"> all primary series, extraction and</w:t>
      </w:r>
    </w:p>
    <w:p>
      <w:r>
        <w:t xml:space="preserve">   analysis scripts, and per-case outputs are public</w:t>
      </w:r>
    </w:p>
    <w:p>
      <w:r>
        <w:t xml:space="preserve">   (github.com/Inzainos/The-shadow-Node-Theory, </w:t>
      </w:r>
      <w:r>
        <w:rPr>
          <w:rFonts w:ascii="Consolas" w:hAnsi="Consolas"/>
          <w:sz w:val="18"/>
        </w:rPr>
        <w:t>reconstruction_real/</w:t>
      </w:r>
      <w:r>
        <w:t>); the</w:t>
      </w:r>
    </w:p>
    <w:p>
      <w:r>
        <w:t xml:space="preserve">   consolidated corpus and master figures will additionally be deposited with the</w:t>
      </w:r>
    </w:p>
    <w:p>
      <w:r>
        <w:t xml:space="preserve">   Zenodo record (DOI 10.5281/zenodo.19446521) and cited as Supporting Information.</w:t>
      </w:r>
    </w:p>
    <w:p>
      <w:r>
        <w:t xml:space="preserve">2. </w:t>
      </w:r>
      <w:r>
        <w:rPr>
          <w:b/>
        </w:rPr>
        <w:t>Source file</w:t>
      </w:r>
      <w:r>
        <w:t xml:space="preserve"> provided as .docx at revision.</w:t>
      </w:r>
    </w:p>
    <w:p>
      <w:r>
        <w:t xml:space="preserve">3. </w:t>
      </w:r>
      <w:r>
        <w:rPr>
          <w:b/>
        </w:rPr>
        <w:t>Title</w:t>
      </w:r>
      <w:r>
        <w:t xml:space="preserve"> in the manuscript and submission form are matched.</w:t>
      </w:r>
    </w:p>
    <w:p>
      <w:r>
        <w:t xml:space="preserve">4. </w:t>
      </w:r>
      <w:r>
        <w:rPr>
          <w:b/>
        </w:rPr>
        <w:t>Author Summary</w:t>
      </w:r>
      <w:r>
        <w:t xml:space="preserve"> (150–200 words) included between Abstract and Introduction.</w:t>
      </w:r>
    </w:p>
    <w:p>
      <w:r>
        <w:t xml:space="preserve">5. </w:t>
      </w:r>
      <w:r>
        <w:rPr>
          <w:b/>
        </w:rPr>
        <w:t>Supporting Information</w:t>
      </w:r>
      <w:r>
        <w:t xml:space="preserve"> figure/data files uploaded as separate items.</w:t>
      </w:r>
    </w:p>
    <w:p>
      <w:r>
        <w:t>We believe the revision meets the reviewers' substantive concerns — most</w:t>
      </w:r>
    </w:p>
    <w:p>
      <w:r>
        <w:t>importantly by replacing the synthetic corpus with fully reproducible real data,</w:t>
      </w:r>
    </w:p>
    <w:p>
      <w:r>
        <w:t>adding formal model comparison and uncertainty quantification, pre-registering the</w:t>
      </w:r>
    </w:p>
    <w:p>
      <w:r>
        <w:t>friction index, moderating the universality and ASI claims, and improving the</w:t>
      </w:r>
    </w:p>
    <w:p>
      <w:r>
        <w:t>presentation (tables, figures, narrative). We thank the reviewers again for</w:t>
      </w:r>
    </w:p>
    <w:p>
      <w:r>
        <w:t>feedback that materially strengthened the paper.</w:t>
      </w:r>
    </w:p>
    <w:p>
      <w:r>
        <w:t>Sincerely,</w:t>
      </w:r>
    </w:p>
    <w:p>
      <w:r>
        <w:t>Elán Zainos Corona — Fractal Core Research, Tlaxcala, Mexico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