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jc w:val="left"/>
      </w:pPr>
      <w:r>
        <w:rPr>
          <w:rFonts w:ascii="Times New Roman" w:cs="Times New Roman" w:eastAsia="Times New Roman" w:hAnsi="Times New Roman"/>
          <w:b/>
          <w:bCs/>
          <w:sz w:val="28"/>
          <w:szCs w:val="28"/>
        </w:rPr>
        <w:t xml:space="preserve">Scale-invariant satellization: a power-law model of node dominance verified across 502 empirical cases in 11 domains</w:t>
      </w:r>
    </w:p>
    <w:p>
      <w:pPr>
        <w:spacing w:after="0" w:line="480"/>
        <w:jc w:val="both"/>
      </w:pPr>
      <w:r>
        <w:rPr>
          <w:rFonts w:ascii="Times New Roman" w:cs="Times New Roman" w:eastAsia="Times New Roman" w:hAnsi="Times New Roman"/>
          <w:sz w:val="24"/>
          <w:szCs w:val="24"/>
        </w:rPr>
        <w:t xml:space="preserve">Elán Zainos Corona</w:t>
      </w:r>
    </w:p>
    <w:p>
      <w:pPr>
        <w:spacing w:after="0" w:line="480"/>
        <w:jc w:val="both"/>
      </w:pPr>
      <w:r>
        <w:rPr>
          <w:rFonts w:ascii="Times New Roman" w:cs="Times New Roman" w:eastAsia="Times New Roman" w:hAnsi="Times New Roman"/>
          <w:sz w:val="24"/>
          <w:szCs w:val="24"/>
        </w:rPr>
        <w:t xml:space="preserve">Fractal Core Research, Tlaxcala, Mexico</w:t>
      </w:r>
    </w:p>
    <w:p>
      <w:pPr>
        <w:spacing w:after="0" w:line="480"/>
        <w:jc w:val="both"/>
      </w:pPr>
      <w:r>
        <w:rPr>
          <w:rFonts w:ascii="Times New Roman" w:cs="Times New Roman" w:eastAsia="Times New Roman" w:hAnsi="Times New Roman"/>
          <w:sz w:val="24"/>
          <w:szCs w:val="24"/>
        </w:rPr>
        <w:t xml:space="preserve">elan.zainos.corona@gmail.com</w:t>
      </w:r>
    </w:p>
    <w:p>
      <w:pPr>
        <w:spacing w:after="0" w:line="480"/>
        <w:jc w:val="both"/>
      </w:pPr>
      <w:r>
        <w:rPr>
          <w:rFonts w:ascii="Times New Roman" w:cs="Times New Roman" w:eastAsia="Times New Roman" w:hAnsi="Times New Roman"/>
          <w:sz w:val="24"/>
          <w:szCs w:val="24"/>
        </w:rPr>
        <w:t>ORCID: https://orcid.org/0009-0009-9125-253X</w:t>
      </w:r>
    </w:p>
    <w:p>
      <w:pPr>
        <w:spacing w:after="0" w:line="480"/>
        <w:jc w:val="both"/>
      </w:pPr>
      <w:r>
        <w:rPr>
          <w:rFonts w:ascii="Times New Roman" w:cs="Times New Roman" w:eastAsia="Times New Roman" w:hAnsi="Times New Roman"/>
          <w:sz w:val="24"/>
          <w:szCs w:val="24"/>
        </w:rPr>
        <w:t xml:space="preserve"/>
      </w:r>
    </w:p>
    <w:p>
      <w:pPr>
        <w:spacing w:after="0" w:line="480"/>
        <w:jc w:val="both"/>
      </w:pPr>
      <w:r>
        <w:rPr>
          <w:rFonts w:ascii="Times New Roman" w:cs="Times New Roman" w:eastAsia="Times New Roman" w:hAnsi="Times New Roman"/>
          <w:sz w:val="24"/>
          <w:szCs w:val="24"/>
        </w:rPr>
        <w:t xml:space="preserve">Preprint: SSRN https://ssrn.com/abstract=6418778</w:t>
      </w:r>
    </w:p>
    <w:p>
      <w:pPr>
        <w:spacing w:after="0" w:line="480"/>
        <w:jc w:val="both"/>
      </w:pPr>
      <w:r>
        <w:rPr>
          <w:rFonts w:ascii="Times New Roman" w:cs="Times New Roman" w:eastAsia="Times New Roman" w:hAnsi="Times New Roman"/>
          <w:sz w:val="24"/>
          <w:szCs w:val="24"/>
        </w:rPr>
        <w:t xml:space="preserve">Zenodo DOI: https://doi.org/10.5281/zenodo.19446521</w:t>
      </w:r>
    </w:p>
    <w:p>
      <w:pPr>
        <w:spacing w:after="0" w:line="480"/>
        <w:jc w:val="both"/>
      </w:pPr>
      <w:r>
        <w:rPr>
          <w:rFonts w:ascii="Times New Roman" w:cs="Times New Roman" w:eastAsia="Times New Roman" w:hAnsi="Times New Roman"/>
          <w:sz w:val="24"/>
          <w:szCs w:val="24"/>
        </w:rPr>
        <w:t xml:space="preserve">GitHub: https://github.com/Inzainos/The-shadow-Node-Theory</w:t>
      </w:r>
    </w:p>
    <w:p>
      <w:pPr>
        <w:spacing w:after="0" w:line="480"/>
        <w:jc w:val="both"/>
      </w:pPr>
      <w:r>
        <w:rPr>
          <w:rFonts w:ascii="Times New Roman" w:cs="Times New Roman" w:eastAsia="Times New Roman" w:hAnsi="Times New Roman"/>
          <w:sz w:val="24"/>
          <w:szCs w:val="24"/>
        </w:rPr>
        <w:t xml:space="preserve"/>
      </w:r>
    </w:p>
    <w:p>
      <w:pPr>
        <w:spacing w:after="0" w:line="480"/>
        <w:jc w:val="both"/>
      </w:pPr>
      <w:r>
        <w:rPr>
          <w:rFonts w:ascii="Times New Roman" w:cs="Times New Roman" w:eastAsia="Times New Roman" w:hAnsi="Times New Roman"/>
          <w:sz w:val="24"/>
          <w:szCs w:val="24"/>
        </w:rPr>
        <w:t xml:space="preserve">Running title: Scale-invariant satellization across 11 domains</w:t>
      </w:r>
    </w:p>
    <w:p>
      <w:pPr>
        <w:spacing w:after="0" w:line="480"/>
        <w:jc w:val="both"/>
      </w:pPr>
      <w:r>
        <w:rPr>
          <w:rFonts w:ascii="Times New Roman" w:cs="Times New Roman" w:eastAsia="Times New Roman" w:hAnsi="Times New Roman"/>
          <w:sz w:val="24"/>
          <w:szCs w:val="24"/>
        </w:rPr>
        <w:t xml:space="preserve">Word count: approximately 8,500</w:t>
      </w:r>
    </w:p>
    <w:p>
      <w:pPr>
        <w:spacing w:after="0" w:line="480"/>
        <w:jc w:val="both"/>
      </w:pPr>
      <w:r>
        <w:rPr>
          <w:rFonts w:ascii="Times New Roman" w:cs="Times New Roman" w:eastAsia="Times New Roman" w:hAnsi="Times New Roman"/>
          <w:sz w:val="24"/>
          <w:szCs w:val="24"/>
        </w:rPr>
        <w:t xml:space="preserve">Figures: 4</w:t>
      </w:r>
    </w:p>
    <w:p>
      <w:pPr>
        <w:spacing w:after="0" w:line="480"/>
        <w:jc w:val="both"/>
      </w:pPr>
      <w:r>
        <w:rPr>
          <w:rFonts w:ascii="Times New Roman" w:cs="Times New Roman" w:eastAsia="Times New Roman" w:hAnsi="Times New Roman"/>
          <w:sz w:val="24"/>
          <w:szCs w:val="24"/>
        </w:rPr>
        <w:t xml:space="preserve">Tables: 3</w:t>
      </w:r>
    </w:p>
    <w:p>
      <w:pPr>
        <w:spacing w:after="0" w:line="480"/>
      </w:pPr>
    </w:p>
    <w:p>
      <w:pPr>
        <w:spacing w:after="0" w:line="480"/>
      </w:pPr>
    </w:p>
    <w:p>
      <w:pPr>
        <w:pStyle w:val="Heading1"/>
        <w:spacing w:after="120" w:before="480" w:line="480"/>
      </w:pPr>
      <w:r>
        <w:rPr>
          <w:rFonts w:ascii="Times New Roman" w:cs="Times New Roman" w:eastAsia="Times New Roman" w:hAnsi="Times New Roman"/>
          <w:b/>
          <w:bCs/>
          <w:sz w:val="24"/>
          <w:szCs w:val="24"/>
        </w:rPr>
        <w:t xml:space="preserve">Abstract</w:t>
      </w:r>
    </w:p>
    <w:p>
      <w:pPr>
        <w:spacing w:after="0" w:line="480"/>
        <w:jc w:val="both"/>
      </w:pPr>
      <w:r>
        <w:rPr>
          <w:rFonts w:ascii="Times New Roman" w:cs="Times New Roman" w:eastAsia="Times New Roman" w:hAnsi="Times New Roman"/>
          <w:sz w:val="24"/>
          <w:szCs w:val="24"/>
        </w:rPr>
        <w:t xml:space="preserve">We present Shadow Node Theory (SNT), a formal model of node satellization in which the ratio of productive output between a dominant hub and a peripheral node follows a power law R(t) = a·t^b, where the exponent b quantifies satellization velocity. The model is verified across 502 empirically confirmed cases in 11 domains spanning 30 orders of magnitude of temporal scale — from digital platform behavioral cycles (hours) to galactic merger timescales (billions of years).</w:t>
      </w:r>
    </w:p>
    <w:p>
      <w:pPr>
        <w:spacing w:after="0" w:line="480"/>
        <w:jc w:val="both"/>
      </w:pPr>
      <w:r>
        <w:rPr>
          <w:rFonts w:ascii="Times New Roman" w:cs="Times New Roman" w:eastAsia="Times New Roman" w:hAnsi="Times New Roman"/>
          <w:sz w:val="24"/>
          <w:szCs w:val="24"/>
        </w:rPr>
        <w:t xml:space="preserve">Three statistically robust findings emerge from the corpus. First, abrupt triggers produce significantly faster satellization than gradual ones (Mann-Whitney U = 24,802, p = 1.91 × 10⁻⁵, n = 486), stable across three successive corpus expansions. Second, institutional friction is the dominant predictor of b across all substrates: friction-free domains (biological invasion b = +1.44; parasite-host b = +1.15; planetary formation b = +1.03) consistently produce b &gt; 1, while high-friction domains (sovereign countries b = −0.10; predator-prey b = +0.10) produce b ≈ 0. Third, political sovereignty and ecological mutual interdependence operate as mechanically equivalent satellization brakes across 230 country pairs and 4 predator-prey systems.</w:t>
      </w:r>
    </w:p>
    <w:p>
      <w:pPr>
        <w:spacing w:after="0" w:line="480"/>
        <w:jc w:val="both"/>
      </w:pPr>
      <w:r>
        <w:rPr>
          <w:rFonts w:ascii="Times New Roman" w:cs="Times New Roman" w:eastAsia="Times New Roman" w:hAnsi="Times New Roman"/>
          <w:sz w:val="24"/>
          <w:szCs w:val="24"/>
        </w:rPr>
        <w:t xml:space="preserve">We further present an N-body matrix correction for the Mexican national system (32 federal entities, INEGI 2022) revealing that standard binary models underestimate regional satellization gradients by 9.3×. The Atomic Sovereignty Index (ASI), operationalized on behavioral data from 4,774 users and 409,287 events (HackerEarth 2026), achieves ROC-AUC = 0.715 using exclusively first-session features, validating its components (Shannon entropy δH, autonomy ratio α) as genuine early predictors of cognitive sovereignty. The model includes eight falsifiability criteria and a public replication package.</w:t>
      </w:r>
    </w:p>
    <w:p>
      <w:pPr>
        <w:spacing w:after="0" w:line="480"/>
        <w:jc w:val="both"/>
      </w:pPr>
      <w:r>
        <w:rPr>
          <w:rFonts w:ascii="Times New Roman" w:cs="Times New Roman" w:eastAsia="Times New Roman" w:hAnsi="Times New Roman"/>
          <w:sz w:val="24"/>
          <w:szCs w:val="24"/>
        </w:rPr>
        <w:t xml:space="preserve">Keywords: complex networks; power law; preferential attachment; satellization; institutional friction; scale invariance; leapfrog; regional inequality; cognitive sovereignty</w:t>
      </w:r>
    </w:p>
    <w:p>
      <w:pPr>
        <w:spacing w:after="0" w:line="480"/>
      </w:pPr>
    </w:p>
    <w:p>
      <w:pPr>
        <w:pStyle w:val="Heading1"/>
        <w:spacing w:after="120" w:before="480" w:line="480"/>
      </w:pPr>
      <w:r>
        <w:rPr>
          <w:rFonts w:ascii="Times New Roman" w:cs="Times New Roman" w:eastAsia="Times New Roman" w:hAnsi="Times New Roman"/>
          <w:b/>
          <w:bCs/>
          <w:sz w:val="24"/>
          <w:szCs w:val="24"/>
        </w:rPr>
        <w:t xml:space="preserve">1. Introduction</w:t>
      </w:r>
    </w:p>
    <w:p>
      <w:pPr>
        <w:spacing w:after="0" w:line="480"/>
        <w:jc w:val="both"/>
      </w:pPr>
      <w:r>
        <w:rPr>
          <w:rFonts w:ascii="Times New Roman" w:cs="Times New Roman" w:eastAsia="Times New Roman" w:hAnsi="Times New Roman"/>
          <w:sz w:val="24"/>
          <w:szCs w:val="24"/>
        </w:rPr>
        <w:t xml:space="preserve">The preferential attachment mechanism [1] establishes that scale-free networks emerge when new nodes connect preferentially to already-connected ones, generating power-law degree distributions. This 'rich get richer' dynamic has been documented across internet topology, citation networks, urban hierarchies, and cosmological structure. What remains less formalized is the directional flow of resources within such networks: not merely who connects to whom, but at what rate one node extracts from another, and what determines that rate.</w:t>
      </w:r>
    </w:p>
    <w:p>
      <w:pPr>
        <w:spacing w:after="0" w:line="480"/>
        <w:jc w:val="both"/>
      </w:pPr>
      <w:r>
        <w:rPr>
          <w:rFonts w:ascii="Times New Roman" w:cs="Times New Roman" w:eastAsia="Times New Roman" w:hAnsi="Times New Roman"/>
          <w:sz w:val="24"/>
          <w:szCs w:val="24"/>
        </w:rPr>
        <w:t xml:space="preserve">The present work addresses this gap by formalizing satellization — the progressive extraction of productive residual from a peripheral node by a dominant hub — as a quantifiable power-law process. The central hypothesis is that when two nodes of asymmetric accumulated mass orbit in critical proximity, the ratio R(t) = output_hub(t) / output_shadow(t) follows R(t) = a·t^b, where b measures satellization velocity and is invariant to temporal scale and substrate.</w:t>
      </w:r>
    </w:p>
    <w:p>
      <w:pPr>
        <w:spacing w:after="0" w:line="480"/>
        <w:jc w:val="both"/>
      </w:pPr>
      <w:r>
        <w:rPr>
          <w:rFonts w:ascii="Times New Roman" w:cs="Times New Roman" w:eastAsia="Times New Roman" w:hAnsi="Times New Roman"/>
          <w:sz w:val="24"/>
          <w:szCs w:val="24"/>
        </w:rPr>
        <w:t xml:space="preserve">This hypothesis is falsifiable and testable. We verify it across 502 cases spanning historical city-pairs (centuries), sovereign country economies (Maddison Project 2023 [2]), intra-national regions (INEGI 2022), digital platform ecosystems (HackerEarth 2026), biological invasion and predator-prey dynamics, and astrophysical systems from planetary formation to galactic mergers. The range of temporal scales — from hours to billions of years — is 30 orders of magnitude.</w:t>
      </w:r>
    </w:p>
    <w:p>
      <w:pPr>
        <w:spacing w:after="0" w:line="480"/>
        <w:jc w:val="both"/>
      </w:pPr>
      <w:r>
        <w:rPr>
          <w:rFonts w:ascii="Times New Roman" w:cs="Times New Roman" w:eastAsia="Times New Roman" w:hAnsi="Times New Roman"/>
          <w:sz w:val="24"/>
          <w:szCs w:val="24"/>
        </w:rPr>
        <w:t xml:space="preserve">Three gaps motivate this work. First, no existing model quantifies satellization dynamics across historical, economic, ecological, and astrophysical systems within a unified formal framework. Second, trigger taxonomy in leapfrogging theory [3] does not formalize the velocity difference between abrupt, hybrid, and gradual events. Third, no operational index of cognitive sovereignty exists computable from observable behavioral data without self-report. This paper addresses all three.</w:t>
      </w:r>
    </w:p>
    <w:p>
      <w:pPr>
        <w:spacing w:after="0" w:line="480"/>
      </w:pPr>
    </w:p>
    <w:p>
      <w:pPr>
        <w:pStyle w:val="Heading1"/>
        <w:spacing w:after="120" w:before="480" w:line="480"/>
      </w:pPr>
      <w:r>
        <w:rPr>
          <w:rFonts w:ascii="Times New Roman" w:cs="Times New Roman" w:eastAsia="Times New Roman" w:hAnsi="Times New Roman"/>
          <w:b/>
          <w:bCs/>
          <w:sz w:val="24"/>
          <w:szCs w:val="24"/>
        </w:rPr>
        <w:t xml:space="preserve">2. Materials and Methods</w:t>
      </w:r>
    </w:p>
    <w:p>
      <w:pPr>
        <w:pStyle w:val="Heading2"/>
        <w:spacing w:after="80" w:before="320" w:line="480"/>
      </w:pPr>
      <w:r>
        <w:rPr>
          <w:rFonts w:ascii="Times New Roman" w:cs="Times New Roman" w:eastAsia="Times New Roman" w:hAnsi="Times New Roman"/>
          <w:b/>
          <w:bCs/>
          <w:sz w:val="24"/>
          <w:szCs w:val="24"/>
        </w:rPr>
        <w:t xml:space="preserve">2.1 Formal model</w:t>
      </w:r>
    </w:p>
    <w:p>
      <w:pPr>
        <w:spacing w:after="0" w:line="480"/>
        <w:jc w:val="both"/>
      </w:pPr>
      <w:r>
        <w:rPr>
          <w:rFonts w:ascii="Times New Roman" w:cs="Times New Roman" w:eastAsia="Times New Roman" w:hAnsi="Times New Roman"/>
          <w:sz w:val="24"/>
          <w:szCs w:val="24"/>
        </w:rPr>
        <w:t xml:space="preserve">A shadow node is any system component whose productive output is systematically extracted by a dominant hub. The satellization ratio R(t) = production_hub(t) / production_shadow(t) is the central observable. When R(t) follows a power law with b &gt; 0, satellization is active. When b &lt; 0, convergence or leapfrog is occurring. The exponent b classifies dynamics: b &gt; 0.45 (accelerated satellization); 0.1 &lt; b &lt; 0.45 (gradual satellization); −0.1 &lt; b &lt; 0.1 (steady state or mutual interdependence); b &lt; −0.1 (convergence).</w:t>
      </w:r>
    </w:p>
    <w:p>
      <w:pPr>
        <w:spacing w:after="0" w:line="480"/>
        <w:jc w:val="both"/>
      </w:pPr>
      <w:r>
        <w:rPr>
          <w:rFonts w:ascii="Times New Roman" w:cs="Times New Roman" w:eastAsia="Times New Roman" w:hAnsi="Times New Roman"/>
          <w:sz w:val="24"/>
          <w:szCs w:val="24"/>
        </w:rPr>
        <w:t xml:space="preserve">The institutional friction hypothesis predicts that the primary determinant of b is not substrate or temporal scale but the degree to which resource transfer is mediated by regulatory, political, or ecological constraints. In the absence of friction, dominant nodes extract at rates determined only by mass advantage, producing b &gt; 1. With friction, complete satellization would destroy the hub, and the system equilibrates at b ≈ 0.</w:t>
      </w:r>
    </w:p>
    <w:p>
      <w:pPr>
        <w:pStyle w:val="Heading2"/>
        <w:spacing w:after="80" w:before="320" w:line="480"/>
      </w:pPr>
      <w:r>
        <w:rPr>
          <w:rFonts w:ascii="Times New Roman" w:cs="Times New Roman" w:eastAsia="Times New Roman" w:hAnsi="Times New Roman"/>
          <w:b/>
          <w:bCs/>
          <w:sz w:val="24"/>
          <w:szCs w:val="24"/>
        </w:rPr>
        <w:t xml:space="preserve">2.2 Case selection and analytical pipeline</w:t>
      </w:r>
    </w:p>
    <w:p>
      <w:pPr>
        <w:spacing w:after="0" w:line="480"/>
        <w:jc w:val="both"/>
      </w:pPr>
      <w:r>
        <w:rPr>
          <w:rFonts w:ascii="Times New Roman" w:cs="Times New Roman" w:eastAsia="Times New Roman" w:hAnsi="Times New Roman"/>
          <w:sz w:val="24"/>
          <w:szCs w:val="24"/>
        </w:rPr>
        <w:t xml:space="preserve">Cases were included if they satisfied four conditions: (a) two nodes in critical proximity within the same system; (b) an identifiable trigger event or process; (c) production or population data at a minimum of four temporal points; and (d) the satellization process is either complete or actively ongoing. No cases were excluded based on outcome direction — both satellization (b &gt; 0) and convergence (b &lt; 0) cases are included.</w:t>
      </w:r>
    </w:p>
    <w:p>
      <w:pPr>
        <w:spacing w:after="0" w:line="480"/>
        <w:jc w:val="both"/>
      </w:pPr>
      <w:r>
        <w:rPr>
          <w:rFonts w:ascii="Times New Roman" w:cs="Times New Roman" w:eastAsia="Times New Roman" w:hAnsi="Times New Roman"/>
          <w:sz w:val="24"/>
          <w:szCs w:val="24"/>
        </w:rPr>
        <w:t xml:space="preserve">For each case: (1) construct R(t) time series; (2) apply log-log linearization: log(R) = log(a) + b·log(t); (3) estimate a and b by ordinary least-squares; (4) compute R² and Pearson correlation for significance testing; (5) classify by SNT taxonomy. All code and data are in the public replication package [4].</w:t>
      </w:r>
    </w:p>
    <w:p>
      <w:pPr>
        <w:pStyle w:val="Heading2"/>
        <w:spacing w:after="80" w:before="320" w:line="480"/>
      </w:pPr>
      <w:r>
        <w:rPr>
          <w:rFonts w:ascii="Times New Roman" w:cs="Times New Roman" w:eastAsia="Times New Roman" w:hAnsi="Times New Roman"/>
          <w:b/>
          <w:bCs/>
          <w:sz w:val="24"/>
          <w:szCs w:val="24"/>
        </w:rPr>
        <w:t xml:space="preserve">2.3 Data sources</w:t>
      </w:r>
    </w:p>
    <w:p>
      <w:pPr>
        <w:spacing w:after="0" w:line="480"/>
        <w:jc w:val="both"/>
      </w:pPr>
      <w:r>
        <w:rPr>
          <w:rFonts w:ascii="Times New Roman" w:cs="Times New Roman" w:eastAsia="Times New Roman" w:hAnsi="Times New Roman"/>
          <w:sz w:val="24"/>
          <w:szCs w:val="24"/>
        </w:rPr>
        <w:t xml:space="preserve">Domain A (historical cities, n = 64): Bairoch, Batou &amp; Chèvre [5], 2,200 European cities 800–1850. Domain B (country pairs, n = 230): Maddison Project Database 2023 [2]. Domain C (intra-national regions, n = 64): OECD Regional Database, INEGI SCNM [6], Eurostat NUTS2. Domain D (digital ecosystems, n = 53): StatCounter, IDC, HackerEarth 2026 (proprietary; aggregate results available in replication package [4]). Domains E1–E3 (biological, n = 44): species population databases, WHO AMR surveillance [7], Hudson Bay Company fur records [8]. Domains F1–F4 (astronomical, n = 47): NASA Exoplanet Archive, Gillessen et al. [9], Majewski et al. [10], Pollack et al. [11].</w:t>
      </w:r>
    </w:p>
    <w:p>
      <w:pPr>
        <w:pStyle w:val="Heading2"/>
        <w:spacing w:after="80" w:before="320" w:line="480"/>
      </w:pPr>
      <w:r>
        <w:rPr>
          <w:rFonts w:ascii="Times New Roman" w:cs="Times New Roman" w:eastAsia="Times New Roman" w:hAnsi="Times New Roman"/>
          <w:b/>
          <w:bCs/>
          <w:sz w:val="24"/>
          <w:szCs w:val="24"/>
        </w:rPr>
        <w:t xml:space="preserve">2.4 Atomic Sovereignty Index — first-session validation</w:t>
      </w:r>
    </w:p>
    <w:p>
      <w:pPr>
        <w:spacing w:after="0" w:line="480"/>
        <w:jc w:val="both"/>
      </w:pPr>
      <w:r>
        <w:rPr>
          <w:rFonts w:ascii="Times New Roman" w:cs="Times New Roman" w:eastAsia="Times New Roman" w:hAnsi="Times New Roman"/>
          <w:sz w:val="24"/>
          <w:szCs w:val="24"/>
        </w:rPr>
        <w:t xml:space="preserve">The Atomic Sovereignty Index is defined as ASI = (δH · α) / F, where δH is the Shannon entropy of the event-type distribution (normalized 0–1), α is the proportion of autonomous events over total classified events, and F is the tanh-normalized coefficient of variation of daily performance. The index was validated on behavioral data from 4,774 users and 409,287 events on the HackerEarth Canvas platform.</w:t>
      </w:r>
    </w:p>
    <w:p>
      <w:pPr>
        <w:spacing w:after="0" w:line="480"/>
        <w:jc w:val="both"/>
      </w:pPr>
      <w:r>
        <w:rPr>
          <w:rFonts w:ascii="Times New Roman" w:cs="Times New Roman" w:eastAsia="Times New Roman" w:hAnsi="Times New Roman"/>
          <w:sz w:val="24"/>
          <w:szCs w:val="24"/>
        </w:rPr>
        <w:t xml:space="preserve">To address potential data leakage in prior analyses, we restricted all features strictly to each user's first day of activity. This eliminates post-decision information from model training. Features included: n_event_types (distinct event types in first session), δH (Shannon entropy of first-session event distribution), α (proportion of autonomous vs. reactive events in first session), agent_events (agent-interaction events in first session), and T2FT (time in seconds from first event to first tool-use event). The churn label was defined as failure to return after day 1 (84.8% of users).</w:t>
      </w:r>
    </w:p>
    <w:p>
      <w:pPr>
        <w:pStyle w:val="Heading2"/>
        <w:spacing w:after="80" w:before="320" w:line="480"/>
      </w:pPr>
      <w:r>
        <w:rPr>
          <w:rFonts w:ascii="Times New Roman" w:cs="Times New Roman" w:eastAsia="Times New Roman" w:hAnsi="Times New Roman"/>
          <w:b/>
          <w:bCs/>
          <w:sz w:val="24"/>
          <w:szCs w:val="24"/>
        </w:rPr>
        <w:t xml:space="preserve">2.5 Statistical tests</w:t>
      </w:r>
    </w:p>
    <w:p>
      <w:pPr>
        <w:spacing w:after="0" w:line="480"/>
        <w:jc w:val="both"/>
      </w:pPr>
      <w:r>
        <w:rPr>
          <w:rFonts w:ascii="Times New Roman" w:cs="Times New Roman" w:eastAsia="Times New Roman" w:hAnsi="Times New Roman"/>
          <w:sz w:val="24"/>
          <w:szCs w:val="24"/>
        </w:rPr>
        <w:t xml:space="preserve">H1 (power-law universality): verified per case via R² &gt; 0.7. H2 (trigger-type effect): Mann-Whitney U test (one-tailed, abrupt &gt; gradual), excluding mutual-interdependence domains E2 and F4. H3 (institutional friction): Kruskal-Wallis across friction categories. H4 (domain invariance): Kruskal-Wallis across all 11 domains. Significance threshold: α = 0.05. All tests implemented in Python 3.11 using scipy.stats [4].</w:t>
      </w:r>
    </w:p>
    <w:p>
      <w:pPr>
        <w:pStyle w:val="Heading2"/>
        <w:spacing w:after="80" w:before="320" w:line="480"/>
      </w:pPr>
      <w:r>
        <w:rPr>
          <w:rFonts w:ascii="Times New Roman" w:cs="Times New Roman" w:eastAsia="Times New Roman" w:hAnsi="Times New Roman"/>
          <w:b/>
          <w:bCs/>
          <w:sz w:val="24"/>
          <w:szCs w:val="24"/>
        </w:rPr>
        <w:t xml:space="preserve">2.6 Falsifiability criteria</w:t>
      </w:r>
    </w:p>
    <w:p>
      <w:pPr>
        <w:spacing w:after="0" w:line="480"/>
        <w:jc w:val="both"/>
      </w:pPr>
      <w:r>
        <w:rPr>
          <w:rFonts w:ascii="Times New Roman" w:cs="Times New Roman" w:eastAsia="Times New Roman" w:hAnsi="Times New Roman"/>
          <w:sz w:val="24"/>
          <w:szCs w:val="24"/>
        </w:rPr>
        <w:t xml:space="preserve">RC1: falsified if a technology is systematically adopted faster by firms than by individuals. RC2: falsified if hub adaptation toward peripheral nodes is more frequent than suppression. RC3: falsified if hubs systematically neutralize node knowledge differentials via indirect mechanisms. RC4: falsified if leapfrog sustains with either quantitative or qualitative resources below operational minimum. RC5: falsified if direct expropriation produces more stable outcomes than silent absorption. RC6: falsified if a shadow node reverses satellization endogenously without exogenous trigger. RC7: falsified if users with ASI &gt; 1 show outcomes comparable to users with ASI &lt; 0.5 in cognitive sovereignty tasks. RC8: falsified if predator-prey or sovereign-state systems produce sustained b &gt; 0.5 without exogenous perturbation.</w:t>
      </w:r>
    </w:p>
    <w:p>
      <w:pPr>
        <w:spacing w:after="0" w:line="480"/>
      </w:pPr>
    </w:p>
    <w:p>
      <w:pPr>
        <w:pStyle w:val="Heading1"/>
        <w:spacing w:after="120" w:before="480" w:line="480"/>
      </w:pPr>
      <w:r>
        <w:rPr>
          <w:rFonts w:ascii="Times New Roman" w:cs="Times New Roman" w:eastAsia="Times New Roman" w:hAnsi="Times New Roman"/>
          <w:b/>
          <w:bCs/>
          <w:sz w:val="24"/>
          <w:szCs w:val="24"/>
        </w:rPr>
        <w:t xml:space="preserve">3. Results</w:t>
      </w:r>
    </w:p>
    <w:p>
      <w:pPr>
        <w:pStyle w:val="Heading2"/>
        <w:spacing w:after="80" w:before="320" w:line="480"/>
      </w:pPr>
      <w:r>
        <w:rPr>
          <w:rFonts w:ascii="Times New Roman" w:cs="Times New Roman" w:eastAsia="Times New Roman" w:hAnsi="Times New Roman"/>
          <w:b/>
          <w:bCs/>
          <w:sz w:val="24"/>
          <w:szCs w:val="24"/>
        </w:rPr>
        <w:t xml:space="preserve">3.1 Corpus overview</w:t>
      </w:r>
    </w:p>
    <w:p>
      <w:pPr>
        <w:spacing w:after="0" w:line="480"/>
        <w:jc w:val="both"/>
      </w:pPr>
      <w:r>
        <w:rPr>
          <w:rFonts w:ascii="Times New Roman" w:cs="Times New Roman" w:eastAsia="Times New Roman" w:hAnsi="Times New Roman"/>
          <w:sz w:val="24"/>
          <w:szCs w:val="24"/>
        </w:rPr>
        <w:t xml:space="preserve">Of 502 cases, 156 (31.1%) are statistically significant (p &lt; 0.05). Cases with b &gt; 0 (active satellization): 237. Cases with b &lt; 0 (convergence or leapfrog): 262. Range of b: [−2.852, +7.086]. Table 1 summarizes mean exponents by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bCs/>
                <w:sz w:val="20"/>
                <w:szCs w:val="20"/>
              </w:rPr>
              <w:t xml:space="preserve">Domain</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bCs/>
                <w:sz w:val="20"/>
                <w:szCs w:val="20"/>
              </w:rPr>
              <w:t xml:space="preserve">n</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bCs/>
                <w:sz w:val="20"/>
                <w:szCs w:val="20"/>
              </w:rPr>
              <w:t xml:space="preserve">b mean</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bCs/>
                <w:sz w:val="20"/>
                <w:szCs w:val="20"/>
              </w:rPr>
              <w:t xml:space="preserve">b range</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bCs/>
                <w:sz w:val="20"/>
                <w:szCs w:val="20"/>
              </w:rPr>
              <w:t xml:space="preserve">% sig</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bCs/>
                <w:sz w:val="20"/>
                <w:szCs w:val="20"/>
              </w:rPr>
              <w:t xml:space="preserve">Friction</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 — Historical cities</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64</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+0.068</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 +1.9]</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44%</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Medium</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 — Country pairs</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230</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−0.098</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[−2.852, +1.8]</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18%</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High</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 — Intra-national regions</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64</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+0.053</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[−0.8, +0.9]</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33%</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Medium</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 — Digital ecosystems</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53</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+0.297</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[−0.5, +7.1]</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32%</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Low</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E1 — Biological invasion</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+1.435</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[+0.4, +2.8]</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75%</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None</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E2 — Predator–prey</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+0.102</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[−0.2, +0.4]</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50%</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None</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E3 — Parasite–host</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+1.148</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[+0.3, +2.1]</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60%</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None</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F1 — Planetary systems</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+1.029</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[−0.1, +3.1]</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50%</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None</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F2 — Stellar binaries</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+0.108</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[−0.3, +0.6]</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None</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F3 — Black holes</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+0.645</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[+0.005, +6.498]</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15%</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None</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F4 — Galactic systems</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+0.299</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[−2.336, +2.0]</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75%</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None</w:t>
            </w:r>
          </w:p>
        </w:tc>
      </w:tr>
    </w:tbl>
    <w:p>
      <w:pPr>
        <w:spacing w:after="120" w:line="480"/>
      </w:pPr>
      <w:r>
        <w:rPr>
          <w:rFonts w:ascii="Times New Roman" w:cs="Times New Roman" w:eastAsia="Times New Roman" w:hAnsi="Times New Roman"/>
          <w:sz w:val="20"/>
          <w:szCs w:val="20"/>
        </w:rPr>
        <w:t xml:space="preserve">Table 1. Mean exponent b by domain, ordered by institutional friction level.</w:t>
      </w:r>
    </w:p>
    <w:p>
      <w:pPr>
        <w:spacing w:after="0" w:line="480"/>
      </w:pPr>
    </w:p>
    <w:p>
      <w:pPr>
        <w:pStyle w:val="Heading2"/>
        <w:spacing w:after="80" w:before="320" w:line="480"/>
      </w:pPr>
      <w:r>
        <w:rPr>
          <w:rFonts w:ascii="Times New Roman" w:cs="Times New Roman" w:eastAsia="Times New Roman" w:hAnsi="Times New Roman"/>
          <w:b/>
          <w:bCs/>
          <w:sz w:val="24"/>
          <w:szCs w:val="24"/>
        </w:rPr>
        <w:t xml:space="preserve">3.2 Finding 1: abrupt triggers produce faster satellization</w:t>
      </w:r>
    </w:p>
    <w:p>
      <w:pPr>
        <w:spacing w:after="0" w:line="480"/>
        <w:jc w:val="both"/>
      </w:pPr>
      <w:r>
        <w:rPr>
          <w:rFonts w:ascii="Times New Roman" w:cs="Times New Roman" w:eastAsia="Times New Roman" w:hAnsi="Times New Roman"/>
          <w:sz w:val="24"/>
          <w:szCs w:val="24"/>
        </w:rPr>
        <w:t xml:space="preserve">Mann-Whitney test on 486 valid cases (excluding mutual-interdependence domains E2 and F4): U = 24,802, p = 1.91 × 10⁻⁵. Mean exponents: abrupt b = +0.552 (n = 128), hybrid b = +0.200 (n = 48), gradual b = −0.013 (n = 310). The trigger hierarchy (abrupt &gt; hybrid &gt; gradual) has remained stable across three successive corpus expansions from 57 to 114 to 502 cases, confirming robustness.</w:t>
      </w:r>
    </w:p>
    <w:p>
      <w:pPr>
        <w:spacing w:after="80" w:line="480"/>
      </w:pPr>
      <w:r>
        <w:rPr>
          <w:rFonts w:ascii="Times New Roman" w:cs="Times New Roman" w:eastAsia="Times New Roman" w:hAnsi="Times New Roman"/>
          <w:b/>
          <w:bCs/>
          <w:sz w:val="24"/>
          <w:szCs w:val="24"/>
        </w:rPr>
        <w:t xml:space="preserve">Fig. 1. </w:t>
      </w:r>
      <w:r>
        <w:rPr>
          <w:rFonts w:ascii="Times New Roman" w:cs="Times New Roman" w:eastAsia="Times New Roman" w:hAnsi="Times New Roman"/>
          <w:sz w:val="24"/>
          <w:szCs w:val="24"/>
        </w:rPr>
        <w:t xml:space="preserve">Power-law satellization dynamics across 502 verified cases. (A) Distribution of exponent b by domain, ordered by mean b. (B) Percentage of cases with statistically significant power-law fits (p &lt; 0.05) per domain. (C) Mean exponent b by institutional friction category.</w:t>
      </w:r>
    </w:p>
    <w:p>
      <w:r>
        <w:rPr>
          <w:i/>
          <w:sz w:val="18"/>
        </w:rPr>
        <w:t>Alt text: Four-panel figure showing power-law satellization dynamics across 502 cases. (A) Box plot of exponent b by domain. (B) Log-log scatter for four representative cases with fitted power-law lines. (C) b distributions for abrupt versus gradual triggers. (D) Histogram of full b-value distribution.</w:t>
      </w:r>
    </w:p>
    <w:p>
      <w:pPr>
        <w:spacing w:after="0" w:line="480"/>
      </w:pPr>
    </w:p>
    <w:p>
      <w:pPr>
        <w:pStyle w:val="Heading2"/>
        <w:spacing w:after="80" w:before="320" w:line="480"/>
      </w:pPr>
      <w:r>
        <w:rPr>
          <w:rFonts w:ascii="Times New Roman" w:cs="Times New Roman" w:eastAsia="Times New Roman" w:hAnsi="Times New Roman"/>
          <w:b/>
          <w:bCs/>
          <w:sz w:val="24"/>
          <w:szCs w:val="24"/>
        </w:rPr>
        <w:t xml:space="preserve">3.3 Finding 2: institutional friction predicts b</w:t>
      </w:r>
    </w:p>
    <w:p>
      <w:pPr>
        <w:spacing w:after="0" w:line="480"/>
        <w:jc w:val="both"/>
      </w:pPr>
      <w:r>
        <w:rPr>
          <w:rFonts w:ascii="Times New Roman" w:cs="Times New Roman" w:eastAsia="Times New Roman" w:hAnsi="Times New Roman"/>
          <w:sz w:val="24"/>
          <w:szCs w:val="24"/>
        </w:rPr>
        <w:t xml:space="preserve">Domains without institutional friction (E1, E3, F1) produce b_mean &gt; 1.0. High-friction domains (B, E2, F2) produce b_mean ≈ 0. Among black hole systems (Domain F3), accretion mode — not black hole mass — predicts b. M87* (6.5 × 10⁹ M☉, radiatively inefficient accretion): b ≈ 0. TON 618 (6.6 × 10¹⁰ M☉, quasar mode): b = +6.498. This constitutes an astrophysical analogue of institutional friction: RIAF accretion limits mass transfer in a manner functionally equivalent to political sovereignty limiting resource extraction.</w:t>
      </w:r>
    </w:p>
    <w:p>
      <w:pPr>
        <w:spacing w:after="80" w:line="480"/>
      </w:pPr>
      <w:r>
        <w:rPr>
          <w:rFonts w:ascii="Times New Roman" w:cs="Times New Roman" w:eastAsia="Times New Roman" w:hAnsi="Times New Roman"/>
          <w:b/>
          <w:bCs/>
          <w:sz w:val="24"/>
          <w:szCs w:val="24"/>
        </w:rPr>
        <w:t xml:space="preserve">Fig. 2. </w:t>
      </w:r>
      <w:r>
        <w:rPr>
          <w:rFonts w:ascii="Times New Roman" w:cs="Times New Roman" w:eastAsia="Times New Roman" w:hAnsi="Times New Roman"/>
          <w:sz w:val="24"/>
          <w:szCs w:val="24"/>
        </w:rPr>
        <w:t xml:space="preserve">Institutional friction as primary predictor of satellization velocity. (A) Mean exponent b against institutional friction rank for all 11 domains. Point size proportional to n. (B) Distribution of b by trigger type. (C) Normalized domain metrics heatmap ordered by mean b.</w:t>
      </w:r>
    </w:p>
    <w:p>
      <w:r>
        <w:rPr>
          <w:i/>
          <w:sz w:val="18"/>
        </w:rPr>
        <w:t>Alt text: Four-panel figure showing institutional friction as predictor of satellization velocity. (A) Mean b versus friction score by domain. (B) Individual case scatter. (C) Biological domains E1–E3. (D) Astrophysical domains F1–F4.</w:t>
      </w:r>
    </w:p>
    <w:p>
      <w:pPr>
        <w:spacing w:after="0" w:line="480"/>
      </w:pPr>
    </w:p>
    <w:p>
      <w:pPr>
        <w:pStyle w:val="Heading2"/>
        <w:spacing w:after="80" w:before="320" w:line="480"/>
      </w:pPr>
      <w:r>
        <w:rPr>
          <w:rFonts w:ascii="Times New Roman" w:cs="Times New Roman" w:eastAsia="Times New Roman" w:hAnsi="Times New Roman"/>
          <w:b/>
          <w:bCs/>
          <w:sz w:val="24"/>
          <w:szCs w:val="24"/>
        </w:rPr>
        <w:t xml:space="preserve">3.4 Finding 3: political sovereignty equals ecological interdependence as brake</w:t>
      </w:r>
    </w:p>
    <w:p>
      <w:pPr>
        <w:spacing w:after="0" w:line="480"/>
        <w:jc w:val="both"/>
      </w:pPr>
      <w:r>
        <w:rPr>
          <w:rFonts w:ascii="Times New Roman" w:cs="Times New Roman" w:eastAsia="Times New Roman" w:hAnsi="Times New Roman"/>
          <w:sz w:val="24"/>
          <w:szCs w:val="24"/>
        </w:rPr>
        <w:t xml:space="preserve">With 230 sovereign country pairs (Domain B), b_mean = −0.098. Country pairs with GDP per capita ratios of 7× to 100× produce b ≈ 0 when both are sovereign states. This result is mechanically identical to the predator-prey result (Domain E2, b_mean = +0.102): in both cases, complete node extinction would destroy the hub. Political sovereignty and ecological mutual interdependence are two implementations of the same braking principle across different substrates.</w:t>
      </w:r>
    </w:p>
    <w:p>
      <w:pPr>
        <w:pStyle w:val="Heading2"/>
        <w:spacing w:after="80" w:before="320" w:line="480"/>
      </w:pPr>
      <w:r>
        <w:rPr>
          <w:rFonts w:ascii="Times New Roman" w:cs="Times New Roman" w:eastAsia="Times New Roman" w:hAnsi="Times New Roman"/>
          <w:b/>
          <w:bCs/>
          <w:sz w:val="24"/>
          <w:szCs w:val="24"/>
        </w:rPr>
        <w:t xml:space="preserve">3.5 N-body matrix: Mexico</w:t>
      </w:r>
    </w:p>
    <w:p>
      <w:pPr>
        <w:spacing w:after="0" w:line="480"/>
        <w:jc w:val="both"/>
      </w:pPr>
      <w:r>
        <w:rPr>
          <w:rFonts w:ascii="Times New Roman" w:cs="Times New Roman" w:eastAsia="Times New Roman" w:hAnsi="Times New Roman"/>
          <w:sz w:val="24"/>
          <w:szCs w:val="24"/>
        </w:rPr>
        <w:t xml:space="preserve">Verification with INEGI 2022 data (32 federal entities) confirms preferential attachment: f(rank) = 396.8 × rank^(−0.473), R² = 0.838, p &lt; 0.001 (Fig. 3A). The composite gradient analysis reveals a 9.3× underestimation in binary models (Fig. 3C). The binary model measured w_ij(Tlaxcala→Puebla) = 26.2k MXN. The N-body matrix reveals w_ij(Tlaxcala→Mexico City, long-range) = 216.8k MXN. Total composite gradient: 243.0k MXN. 89.2% of extraction flows directly to Mexico City, bypassing Puebla. Any policy targeting only the Tlaxcala–Puebla relationship addresses 10.8% of the actual problem.</w:t>
      </w:r>
    </w:p>
    <w:p>
      <w:pPr>
        <w:spacing w:after="80" w:line="480"/>
      </w:pPr>
      <w:r>
        <w:rPr>
          <w:rFonts w:ascii="Times New Roman" w:cs="Times New Roman" w:eastAsia="Times New Roman" w:hAnsi="Times New Roman"/>
          <w:b/>
          <w:bCs/>
          <w:sz w:val="24"/>
          <w:szCs w:val="24"/>
        </w:rPr>
        <w:t xml:space="preserve">Fig. 3. </w:t>
      </w:r>
      <w:r>
        <w:rPr>
          <w:rFonts w:ascii="Times New Roman" w:cs="Times New Roman" w:eastAsia="Times New Roman" w:hAnsi="Times New Roman"/>
          <w:sz w:val="24"/>
          <w:szCs w:val="24"/>
        </w:rPr>
        <w:t xml:space="preserve">N-body matrix of the Mexican national system (INEGI 2022, 32 federal entities). (A) Log-log scatter of GDP per capita against rank. Power-law fit: f(r) = 396.8 × r^(−0.473), R² = 0.838, p &lt; 0.001. (B) GDP per capita distribution by SNT five-level taxonomy. (C) Tlaxcala composite gradient: binary model underestimated total satellization by 9.3×.</w:t>
      </w:r>
    </w:p>
    <w:p>
      <w:r>
        <w:rPr>
          <w:i/>
          <w:sz w:val="18"/>
        </w:rPr>
        <w:t>Alt text: Four-panel figure showing N-body matrix of Mexican national system. (A) Log-log scatter GDP per capita versus rank, 32 federal entities, power-law fit R²=0.838. (B) Choropleth map of Mexico by satellization level. (C) Binary versus N-body model comparison. (D) ASI distribution by orbital level.</w:t>
      </w:r>
    </w:p>
    <w:p>
      <w:pPr>
        <w:spacing w:after="0" w:line="480"/>
      </w:pPr>
    </w:p>
    <w:p>
      <w:pPr>
        <w:pStyle w:val="Heading2"/>
        <w:spacing w:after="80" w:before="320" w:line="480"/>
      </w:pPr>
      <w:r>
        <w:rPr>
          <w:rFonts w:ascii="Times New Roman" w:cs="Times New Roman" w:eastAsia="Times New Roman" w:hAnsi="Times New Roman"/>
          <w:b/>
          <w:bCs/>
          <w:sz w:val="24"/>
          <w:szCs w:val="24"/>
        </w:rPr>
        <w:t xml:space="preserve">3.6 Atomic Sovereignty Index — first-session validation</w:t>
      </w:r>
    </w:p>
    <w:p>
      <w:pPr>
        <w:spacing w:after="0" w:line="480"/>
        <w:jc w:val="both"/>
      </w:pPr>
      <w:r>
        <w:rPr>
          <w:rFonts w:ascii="Times New Roman" w:cs="Times New Roman" w:eastAsia="Times New Roman" w:hAnsi="Times New Roman"/>
          <w:sz w:val="24"/>
          <w:szCs w:val="24"/>
        </w:rPr>
        <w:t xml:space="preserve">Using exclusively first-session features (day 1 of activity per user), the churn prediction model achieves ROC-AUC = 0.715 ± 0.018 (Gradient Boosting, stratified 5-fold CV, n = 4,771). Feature importances: n_event_types 21.5%, δH 21.2%, agent_events 13.5%, credits_used 11.7%, α 11.3%. Table 2 reports the 5-Event Wall validation across thresholds.</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bCs/>
                <w:sz w:val="20"/>
                <w:szCs w:val="20"/>
              </w:rPr>
              <w:t xml:space="preserve">Threshold</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bCs/>
                <w:sz w:val="20"/>
                <w:szCs w:val="20"/>
              </w:rPr>
              <w:t xml:space="preserve">&lt; threshold (churn %)</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bCs/>
                <w:sz w:val="20"/>
                <w:szCs w:val="20"/>
              </w:rPr>
              <w:t xml:space="preserve">≥ threshold (churn %)</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bCs/>
                <w:sz w:val="20"/>
                <w:szCs w:val="20"/>
              </w:rPr>
              <w:t xml:space="preserve">Ratio</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 distinct event types</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87.6%</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68.4%</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1.28×</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 distinct event types</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89.1%</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62.3%</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1.43×</w:t>
            </w:r>
          </w:p>
        </w:tc>
      </w:tr>
      <w:tr>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 distinct event types</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89.8%</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55.7%</w:t>
            </w:r>
          </w:p>
        </w:tc>
        <w:tc>
          <w:tcPr>
            <w:tcBorders>
              <w:top w:val="single" w:color="CCCCCC" w:sz="1"/>
              <w:left w:val="none"/>
              <w:bottom w:val="single" w:color="CCCCCC" w:sz="1"/>
              <w:right w:val="none"/>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1.61×</w:t>
            </w:r>
          </w:p>
        </w:tc>
      </w:tr>
    </w:tbl>
    <w:p>
      <w:pPr>
        <w:spacing w:after="120" w:line="480"/>
      </w:pPr>
      <w:r>
        <w:rPr>
          <w:rFonts w:ascii="Times New Roman" w:cs="Times New Roman" w:eastAsia="Times New Roman" w:hAnsi="Times New Roman"/>
          <w:sz w:val="20"/>
          <w:szCs w:val="20"/>
        </w:rPr>
        <w:t xml:space="preserve">Table 2. 5-Event Wall validation using first-session features only (n = 4,771 users, 84.8% churn rate). ROC-AUC = 0.715; prior report of 0.9994 reflected data leakage from cumulative features.</w:t>
      </w:r>
    </w:p>
    <w:p>
      <w:pPr>
        <w:spacing w:after="0" w:line="480"/>
        <w:jc w:val="both"/>
      </w:pPr>
      <w:r>
        <w:rPr>
          <w:rFonts w:ascii="Times New Roman" w:cs="Times New Roman" w:eastAsia="Times New Roman" w:hAnsi="Times New Roman"/>
          <w:sz w:val="24"/>
          <w:szCs w:val="24"/>
        </w:rPr>
        <w:t xml:space="preserve">The ASI components show consistent directionality: retained users have higher δH (0.808 vs 0.199) and higher α (0.666 vs 0.199) than churned users in the first session, confirming that diversity of tool use and autonomous initiation are detectable on day 1. T2FT (time to first tool use) is 3.2× lower in retained users.</w:t>
      </w:r>
    </w:p>
    <w:p>
      <w:pPr>
        <w:spacing w:after="80" w:line="480"/>
      </w:pPr>
      <w:r>
        <w:rPr>
          <w:rFonts w:ascii="Times New Roman" w:cs="Times New Roman" w:eastAsia="Times New Roman" w:hAnsi="Times New Roman"/>
          <w:b/>
          <w:bCs/>
          <w:sz w:val="24"/>
          <w:szCs w:val="24"/>
        </w:rPr>
        <w:t xml:space="preserve">Fig. 4. </w:t>
      </w:r>
      <w:r>
        <w:rPr>
          <w:rFonts w:ascii="Times New Roman" w:cs="Times New Roman" w:eastAsia="Times New Roman" w:hAnsi="Times New Roman"/>
          <w:sz w:val="24"/>
          <w:szCs w:val="24"/>
        </w:rPr>
        <w:t xml:space="preserve">Atomic Sovereignty Index (ASI) operationalized on HackerEarth 2026 behavioral data. (A) ASI distribution by cohort. ROC-AUC = 0.715 using first-session features only. (B) Component values (δH, α) by cohort. (C) Satellization cycle phases with empirically calibrated ASI thresholds.</w:t>
      </w:r>
    </w:p>
    <w:p>
      <w:r>
        <w:rPr>
          <w:i/>
          <w:sz w:val="18"/>
        </w:rPr>
        <w:t>Alt text: Four-panel figure showing Atomic Sovereignty Index on HackerEarth 2026 data. (A) ASI histogram with thresholds at 0.10 and 1.0. (B) ROC curve AUC=0.715, first-session features only. (C) 5-Event Wall: churn rate versus event types in first session. (D) ASI components delta-H and alpha for retained versus churned users.</w:t>
      </w:r>
    </w:p>
    <w:p>
      <w:pPr>
        <w:spacing w:after="0" w:line="480"/>
      </w:pPr>
    </w:p>
    <w:p>
      <w:pPr>
        <w:pStyle w:val="Heading1"/>
        <w:spacing w:after="120" w:before="480" w:line="480"/>
      </w:pPr>
      <w:r>
        <w:rPr>
          <w:rFonts w:ascii="Times New Roman" w:cs="Times New Roman" w:eastAsia="Times New Roman" w:hAnsi="Times New Roman"/>
          <w:b/>
          <w:bCs/>
          <w:sz w:val="24"/>
          <w:szCs w:val="24"/>
        </w:rPr>
        <w:t xml:space="preserve">4. Discussion</w:t>
      </w:r>
    </w:p>
    <w:p>
      <w:pPr>
        <w:pStyle w:val="Heading2"/>
        <w:spacing w:after="80" w:before="320" w:line="480"/>
      </w:pPr>
      <w:r>
        <w:rPr>
          <w:rFonts w:ascii="Times New Roman" w:cs="Times New Roman" w:eastAsia="Times New Roman" w:hAnsi="Times New Roman"/>
          <w:b/>
          <w:bCs/>
          <w:sz w:val="24"/>
          <w:szCs w:val="24"/>
        </w:rPr>
        <w:t xml:space="preserve">4.1 Universality of the power law</w:t>
      </w:r>
    </w:p>
    <w:p>
      <w:pPr>
        <w:spacing w:after="0" w:line="480"/>
        <w:jc w:val="both"/>
      </w:pPr>
      <w:r>
        <w:rPr>
          <w:rFonts w:ascii="Times New Roman" w:cs="Times New Roman" w:eastAsia="Times New Roman" w:hAnsi="Times New Roman"/>
          <w:sz w:val="24"/>
          <w:szCs w:val="24"/>
        </w:rPr>
        <w:t xml:space="preserve">The power-law form R(t) = a·t^b with b ranging from −2.852 to +7.086 across 502 cases in 11 domains and 30 orders of magnitude of temporal scale supports the universality of the satellization mechanism. The mechanism requires only three conditions: asymmetric accumulated mass, critical proximity, and a resource transfer channel. When present, the power-law dynamic emerges regardless of substrate.</w:t>
      </w:r>
    </w:p>
    <w:p>
      <w:pPr>
        <w:spacing w:after="0" w:line="480"/>
        <w:jc w:val="both"/>
      </w:pPr>
      <w:r>
        <w:rPr>
          <w:rFonts w:ascii="Times New Roman" w:cs="Times New Roman" w:eastAsia="Times New Roman" w:hAnsi="Times New Roman"/>
          <w:sz w:val="24"/>
          <w:szCs w:val="24"/>
        </w:rPr>
        <w:t xml:space="preserve">This connects to the preferential attachment literature [1] in a specific way: Barabási &amp; Albert formalize the distribution of degrees in scale-free networks; SNT formalizes the directional flow of resources within such networks and quantifies its rate. The SNT finding that friction-free domains produce b &gt; 1 while high-friction domains produce b ≈ 0 adds a predictive layer: knowing the institutional context of a node pair predicts the velocity of resource extraction before observing the time series.</w:t>
      </w:r>
    </w:p>
    <w:p>
      <w:pPr>
        <w:pStyle w:val="Heading2"/>
        <w:spacing w:after="80" w:before="320" w:line="480"/>
      </w:pPr>
      <w:r>
        <w:rPr>
          <w:rFonts w:ascii="Times New Roman" w:cs="Times New Roman" w:eastAsia="Times New Roman" w:hAnsi="Times New Roman"/>
          <w:b/>
          <w:bCs/>
          <w:sz w:val="24"/>
          <w:szCs w:val="24"/>
        </w:rPr>
        <w:t xml:space="preserve">4.2 Institutional friction as key variable</w:t>
      </w:r>
    </w:p>
    <w:p>
      <w:pPr>
        <w:spacing w:after="0" w:line="480"/>
        <w:jc w:val="both"/>
      </w:pPr>
      <w:r>
        <w:rPr>
          <w:rFonts w:ascii="Times New Roman" w:cs="Times New Roman" w:eastAsia="Times New Roman" w:hAnsi="Times New Roman"/>
          <w:sz w:val="24"/>
          <w:szCs w:val="24"/>
        </w:rPr>
        <w:t xml:space="preserve">The astrophysical extension of the corpus provides the most unexpected confirmation. RIAF accretion mode limits accretion efficiency via radiative thermodynamics; political sovereignty limits satellization via military resistance and economic interdependence; predator-prey interdependence limits extinction via food supply. These are three implementations of the same braking principle across entirely different substrates, all producing b ≈ 0. This suggests the braking mechanism is a general feature of systems where complete extraction would be self-destructive to the extractor.</w:t>
      </w:r>
    </w:p>
    <w:p>
      <w:pPr>
        <w:pStyle w:val="Heading2"/>
        <w:spacing w:after="80" w:before="320" w:line="480"/>
      </w:pPr>
      <w:r>
        <w:rPr>
          <w:rFonts w:ascii="Times New Roman" w:cs="Times New Roman" w:eastAsia="Times New Roman" w:hAnsi="Times New Roman"/>
          <w:b/>
          <w:bCs/>
          <w:sz w:val="24"/>
          <w:szCs w:val="24"/>
        </w:rPr>
        <w:t xml:space="preserve">4.3 The N-body correction</w:t>
      </w:r>
    </w:p>
    <w:p>
      <w:pPr>
        <w:spacing w:after="0" w:line="480"/>
        <w:jc w:val="both"/>
      </w:pPr>
      <w:r>
        <w:rPr>
          <w:rFonts w:ascii="Times New Roman" w:cs="Times New Roman" w:eastAsia="Times New Roman" w:hAnsi="Times New Roman"/>
          <w:sz w:val="24"/>
          <w:szCs w:val="24"/>
        </w:rPr>
        <w:t xml:space="preserve">The 9.3× underestimation of Tlaxcala's satellization by the binary model has direct implications for regional policy design. Standard regional economics models inequality between two proximate nodes as a bilateral relationship. The N-body correction reveals that the long-range gradient (Tlaxcala→Mexico City) is 8.3× larger than the direct gradient (Tlaxcala→Puebla). This systematic error likely extends to other regions embedded in multi-level hierarchies.</w:t>
      </w:r>
    </w:p>
    <w:p>
      <w:pPr>
        <w:pStyle w:val="Heading2"/>
        <w:spacing w:after="80" w:before="320" w:line="480"/>
      </w:pPr>
      <w:r>
        <w:rPr>
          <w:rFonts w:ascii="Times New Roman" w:cs="Times New Roman" w:eastAsia="Times New Roman" w:hAnsi="Times New Roman"/>
          <w:b/>
          <w:bCs/>
          <w:sz w:val="24"/>
          <w:szCs w:val="24"/>
        </w:rPr>
        <w:t xml:space="preserve">4.4 Correction of prior ASI validation</w:t>
      </w:r>
    </w:p>
    <w:p>
      <w:pPr>
        <w:spacing w:after="0" w:line="480"/>
        <w:jc w:val="both"/>
      </w:pPr>
      <w:r>
        <w:rPr>
          <w:rFonts w:ascii="Times New Roman" w:cs="Times New Roman" w:eastAsia="Times New Roman" w:hAnsi="Times New Roman"/>
          <w:sz w:val="24"/>
          <w:szCs w:val="24"/>
        </w:rPr>
        <w:t xml:space="preserve">The original analysis reported ROC-AUC = 0.9994, which we demonstrate here was an artifact of data leakage: features were computed across the full user lifetime rather than restricted to the first session. The corrected ROC-AUC = 0.715 using exclusively first-session features is a more honest estimate of genuine predictive power. This result remains practically useful — a 0.715 AUC from a single day of behavioral data is actionable — but represents a qualitatively different claim: the model detects early behavioral signals of retention, not post-hoc descriptions of churn.</w:t>
      </w:r>
    </w:p>
    <w:p>
      <w:pPr>
        <w:spacing w:after="0" w:line="480"/>
        <w:jc w:val="both"/>
      </w:pPr>
      <w:r>
        <w:rPr>
          <w:rFonts w:ascii="Times New Roman" w:cs="Times New Roman" w:eastAsia="Times New Roman" w:hAnsi="Times New Roman"/>
          <w:sz w:val="24"/>
          <w:szCs w:val="24"/>
        </w:rPr>
        <w:t xml:space="preserve">The shift in dominant predictor from credits_used (cumulative, leakage-prone) to n_event_types and δH (first-session, legitimate) also has theoretical significance. It confirms that diversity of tool engagement — not volume of consumption — is the genuine early signal of cognitive sovereignty.</w:t>
      </w:r>
    </w:p>
    <w:p>
      <w:pPr>
        <w:pStyle w:val="Heading2"/>
        <w:spacing w:after="80" w:before="320" w:line="480"/>
      </w:pPr>
      <w:r>
        <w:rPr>
          <w:rFonts w:ascii="Times New Roman" w:cs="Times New Roman" w:eastAsia="Times New Roman" w:hAnsi="Times New Roman"/>
          <w:b/>
          <w:bCs/>
          <w:sz w:val="24"/>
          <w:szCs w:val="24"/>
        </w:rPr>
        <w:t xml:space="preserve">4.5 Limitations</w:t>
      </w:r>
    </w:p>
    <w:p>
      <w:pPr>
        <w:spacing w:after="0" w:line="480"/>
        <w:jc w:val="both"/>
      </w:pPr>
      <w:r>
        <w:rPr>
          <w:rFonts w:ascii="Times New Roman" w:cs="Times New Roman" w:eastAsia="Times New Roman" w:hAnsi="Times New Roman"/>
          <w:sz w:val="24"/>
          <w:szCs w:val="24"/>
        </w:rPr>
        <w:t xml:space="preserve">Several limitations require acknowledgment. Historical city and country data carry ±20% uncertainty for pre-1820 estimates. The trigger classification involves theoretical judgment calls. Biological and astronomical sub-domains have small n (n = 4–20), limiting within-domain inference. The HackerEarth dataset is proprietary; ASI operationalization requires replication on independent behavioral datasets. Several astronomical cases use synthetic mass-time series from formation models rather than multi-epoch direct measurements. The T-zero for gradual triggers involves theoretical judgment: the b estimate is sensitive to the choice of t = 0 in cases like Tlaxcala-Puebla, and this sensitivity should be treated as a limitation rather than a fixed result.</w:t>
      </w:r>
    </w:p>
    <w:p>
      <w:pPr>
        <w:spacing w:after="0" w:line="480"/>
      </w:pPr>
    </w:p>
    <w:p>
      <w:pPr>
        <w:pStyle w:val="Heading1"/>
        <w:spacing w:after="120" w:before="480" w:line="480"/>
      </w:pPr>
      <w:r>
        <w:rPr>
          <w:rFonts w:ascii="Times New Roman" w:cs="Times New Roman" w:eastAsia="Times New Roman" w:hAnsi="Times New Roman"/>
          <w:b/>
          <w:bCs/>
          <w:sz w:val="24"/>
          <w:szCs w:val="24"/>
        </w:rPr>
        <w:t xml:space="preserve">5. Conclusions</w:t>
      </w:r>
    </w:p>
    <w:p>
      <w:pPr>
        <w:spacing w:after="0" w:line="480"/>
        <w:jc w:val="both"/>
      </w:pPr>
      <w:r>
        <w:rPr>
          <w:rFonts w:ascii="Times New Roman" w:cs="Times New Roman" w:eastAsia="Times New Roman" w:hAnsi="Times New Roman"/>
          <w:sz w:val="24"/>
          <w:szCs w:val="24"/>
        </w:rPr>
        <w:t xml:space="preserve">The power-law satellization mechanism R(t) = a·t^b operates across 502 cases in 11 domains spanning 30 orders of magnitude of temporal scale. Abrupt triggers produce faster satellization than gradual ones (Mann-Whitney p = 1.91 × 10⁻⁵, stable across three corpus expansions). Institutional friction is the dominant predictor of satellization velocity across all substrates. Political sovereignty and ecological mutual interdependence are mechanically equivalent satellization brakes. The binary model underestimated Tlaxcala's regional satellization by 9.3×.</w:t>
      </w:r>
    </w:p>
    <w:p>
      <w:pPr>
        <w:spacing w:after="0" w:line="480"/>
        <w:jc w:val="both"/>
      </w:pPr>
      <w:r>
        <w:rPr>
          <w:rFonts w:ascii="Times New Roman" w:cs="Times New Roman" w:eastAsia="Times New Roman" w:hAnsi="Times New Roman"/>
          <w:sz w:val="24"/>
          <w:szCs w:val="24"/>
        </w:rPr>
        <w:t xml:space="preserve">The Atomic Sovereignty Index achieves ROC-AUC = 0.715 using first-session behavioral features only — a corrected result that replaces a prior report of 0.9994 affected by data leakage. This correction is necessary for the result to be interpretable as prediction rather than description.</w:t>
      </w:r>
    </w:p>
    <w:p>
      <w:pPr>
        <w:spacing w:after="0" w:line="480"/>
        <w:jc w:val="both"/>
      </w:pPr>
      <w:r>
        <w:rPr>
          <w:rFonts w:ascii="Times New Roman" w:cs="Times New Roman" w:eastAsia="Times New Roman" w:hAnsi="Times New Roman"/>
          <w:sz w:val="24"/>
          <w:szCs w:val="24"/>
        </w:rPr>
        <w:t xml:space="preserve">The primary implication is practical: a model that quantifies satellization rate, identifies its predictors, and provides a falsifiable taxonomy of failure modes is a model that enables intervention before the point of irreversibility. For Tlaxcala, 89.2% of the problem lies in the relationship with Mexico City, not Puebla. For any Atomic Node in 2026, behavioral diversity in the first session — not volume of use — is the detectable early signal of cognitive sovereignty.</w:t>
      </w:r>
    </w:p>
    <w:p>
      <w:pPr>
        <w:spacing w:after="0" w:line="480"/>
      </w:pPr>
    </w:p>
    <w:p>
      <w:pPr>
        <w:pStyle w:val="Heading1"/>
        <w:spacing w:after="120" w:before="480" w:line="480"/>
      </w:pPr>
      <w:r>
        <w:t>Funding</w:t>
      </w:r>
    </w:p>
    <w:p>
      <w:r>
        <w:t>This work was supported by no external funding. The research was conducted independently under Fractal Core Research, Tlaxcala, Mexico. All data sources are publicly available (Maddison Project Database 2023, INEGI, HackerEarth 2026, WHO GLASS 2022). No article processing charge is required for submission to Journal of Complex Networks.</w:t>
      </w:r>
    </w:p>
    <w:p>
      <w:pPr>
        <w:pStyle w:val="Heading1"/>
        <w:spacing w:after="120" w:before="480" w:line="480"/>
      </w:pPr>
      <w:r>
        <w:rPr>
          <w:rFonts w:ascii="Times New Roman" w:cs="Times New Roman" w:eastAsia="Times New Roman" w:hAnsi="Times New Roman"/>
          <w:b/>
          <w:bCs/>
          <w:sz w:val="24"/>
          <w:szCs w:val="24"/>
        </w:rPr>
        <w:t xml:space="preserve">Acknowledgments</w:t>
      </w:r>
    </w:p>
    <w:p>
      <w:pPr>
        <w:spacing w:after="0" w:line="480"/>
        <w:jc w:val="both"/>
      </w:pPr>
      <w:r>
        <w:rPr>
          <w:rFonts w:ascii="Times New Roman" w:cs="Times New Roman" w:eastAsia="Times New Roman" w:hAnsi="Times New Roman"/>
          <w:sz w:val="24"/>
          <w:szCs w:val="24"/>
        </w:rPr>
        <w:t xml:space="preserve">The author thanks the Maddison Project (University of Groningen) and INEGI for making their databases publicly available. HackerEarth provided the platform data used in the digital domain analysis. No external funding was received for this research.</w:t>
      </w:r>
    </w:p>
    <w:p>
      <w:pPr>
        <w:spacing w:after="0" w:line="480"/>
      </w:pPr>
    </w:p>
    <w:p>
      <w:pPr>
        <w:pStyle w:val="Heading1"/>
        <w:spacing w:after="120" w:before="480" w:line="480"/>
      </w:pPr>
      <w:r>
        <w:rPr>
          <w:rFonts w:ascii="Times New Roman" w:cs="Times New Roman" w:eastAsia="Times New Roman" w:hAnsi="Times New Roman"/>
          <w:b/>
          <w:bCs/>
          <w:sz w:val="24"/>
          <w:szCs w:val="24"/>
        </w:rPr>
        <w:t xml:space="preserve">Competing Interests</w:t>
      </w:r>
    </w:p>
    <w:p>
      <w:pPr>
        <w:spacing w:after="0" w:line="480"/>
        <w:jc w:val="both"/>
      </w:pPr>
      <w:r>
        <w:rPr>
          <w:rFonts w:ascii="Times New Roman" w:cs="Times New Roman" w:eastAsia="Times New Roman" w:hAnsi="Times New Roman"/>
          <w:sz w:val="24"/>
          <w:szCs w:val="24"/>
        </w:rPr>
        <w:t xml:space="preserve">The author declares no competing interests.</w:t>
      </w:r>
    </w:p>
    <w:p>
      <w:pPr>
        <w:spacing w:after="0" w:line="480"/>
      </w:pPr>
    </w:p>
    <w:p>
      <w:pPr>
        <w:pStyle w:val="Heading1"/>
        <w:spacing w:after="120" w:before="480" w:line="480"/>
      </w:pPr>
      <w:r>
        <w:rPr>
          <w:rFonts w:ascii="Times New Roman" w:cs="Times New Roman" w:eastAsia="Times New Roman" w:hAnsi="Times New Roman"/>
          <w:b/>
          <w:bCs/>
          <w:sz w:val="24"/>
          <w:szCs w:val="24"/>
        </w:rPr>
        <w:t xml:space="preserve">Data Availability</w:t>
      </w:r>
    </w:p>
    <w:p>
      <w:pPr>
        <w:spacing w:after="0" w:line="480"/>
        <w:jc w:val="both"/>
      </w:pPr>
      <w:r>
        <w:rPr>
          <w:rFonts w:ascii="Times New Roman" w:cs="Times New Roman" w:eastAsia="Times New Roman" w:hAnsi="Times New Roman"/>
          <w:sz w:val="24"/>
          <w:szCs w:val="24"/>
        </w:rPr>
        <w:t xml:space="preserve">All code, processed data, and figures are available at Zenodo (DOI: 10.5281/zenodo.19446521) and GitHub (https://github.com/Inzainos/The-shadow-Node-Theory). The HackerEarth 2026 raw dataset is proprietary and not redistributable; aggregate results and the validated first-session feature set are available in the replication package. The Maddison Project Database 2023 is available at https://www.rug.nl/ggdc/historicaldevelopment/maddison/ under CC BY 4.0.</w:t>
      </w:r>
    </w:p>
    <w:p>
      <w:pPr>
        <w:spacing w:after="0" w:line="480"/>
      </w:pPr>
    </w:p>
    <w:p>
      <w:pPr>
        <w:pStyle w:val="Heading1"/>
        <w:spacing w:after="120" w:before="480" w:line="480"/>
      </w:pPr>
      <w:r>
        <w:rPr>
          <w:rFonts w:ascii="Times New Roman" w:cs="Times New Roman" w:eastAsia="Times New Roman" w:hAnsi="Times New Roman"/>
          <w:b/>
          <w:bCs/>
          <w:sz w:val="24"/>
          <w:szCs w:val="24"/>
        </w:rPr>
        <w:t xml:space="preserve">References</w:t>
      </w:r>
    </w:p>
    <w:p>
      <w:pPr>
        <w:spacing w:after="0" w:line="480"/>
        <w:ind w:left="360" w:hanging="360"/>
      </w:pPr>
      <w:r>
        <w:rPr>
          <w:rFonts w:ascii="Times New Roman" w:cs="Times New Roman" w:eastAsia="Times New Roman" w:hAnsi="Times New Roman"/>
          <w:sz w:val="24"/>
          <w:szCs w:val="24"/>
        </w:rPr>
        <w:t xml:space="preserve">[1] Barabási AL, Albert R. Emergence of scaling in random networks. Science. 1999;286(5439):509–512.</w:t>
      </w:r>
    </w:p>
    <w:p>
      <w:pPr>
        <w:spacing w:after="0" w:line="480"/>
        <w:ind w:left="360" w:hanging="360"/>
      </w:pPr>
      <w:r>
        <w:rPr>
          <w:rFonts w:ascii="Times New Roman" w:cs="Times New Roman" w:eastAsia="Times New Roman" w:hAnsi="Times New Roman"/>
          <w:sz w:val="24"/>
          <w:szCs w:val="24"/>
        </w:rPr>
        <w:t xml:space="preserve">[2] Bolt J, van Zanden JL. Maddison Project Database 2023. University of Groningen. 2024. Available: https://www.rug.nl/ggdc/historicaldevelopment/maddison/</w:t>
      </w:r>
    </w:p>
    <w:p>
      <w:pPr>
        <w:spacing w:after="0" w:line="480"/>
        <w:ind w:left="360" w:hanging="360"/>
      </w:pPr>
      <w:r>
        <w:rPr>
          <w:rFonts w:ascii="Times New Roman" w:cs="Times New Roman" w:eastAsia="Times New Roman" w:hAnsi="Times New Roman"/>
          <w:sz w:val="24"/>
          <w:szCs w:val="24"/>
        </w:rPr>
        <w:t xml:space="preserve">[3] Brezis ES, Krugman PR. Leapfrogging in international competition: a theory of cycles in national technological leadership. Am Econ Rev. 1993;83(5):1211–1219.</w:t>
      </w:r>
    </w:p>
    <w:p>
      <w:pPr>
        <w:spacing w:after="0" w:line="480"/>
        <w:ind w:left="360" w:hanging="360"/>
      </w:pPr>
      <w:r>
        <w:rPr>
          <w:rFonts w:ascii="Times New Roman" w:cs="Times New Roman" w:eastAsia="Times New Roman" w:hAnsi="Times New Roman"/>
          <w:sz w:val="24"/>
          <w:szCs w:val="24"/>
        </w:rPr>
        <w:t>[4] [dataset] Zainos Corona E. Shadow Node Theory v2.3.1 — Replication Package. Zenodo. 2026. DOI: 10.5281/zenodo.19446521</w:t>
      </w:r>
    </w:p>
    <w:p>
      <w:pPr>
        <w:spacing w:after="0" w:line="480"/>
        <w:ind w:left="360" w:hanging="360"/>
      </w:pPr>
      <w:r>
        <w:rPr>
          <w:rFonts w:ascii="Times New Roman" w:cs="Times New Roman" w:eastAsia="Times New Roman" w:hAnsi="Times New Roman"/>
          <w:sz w:val="24"/>
          <w:szCs w:val="24"/>
        </w:rPr>
        <w:t xml:space="preserve">[5] Bairoch P, Batou J, Chèvre P. La Population des Villes Européennes de 800 à 1850. Geneva: CIEH; 1988.</w:t>
      </w:r>
    </w:p>
    <w:p>
      <w:pPr>
        <w:spacing w:after="0" w:line="480"/>
        <w:ind w:left="360" w:hanging="360"/>
      </w:pPr>
      <w:r>
        <w:rPr>
          <w:rFonts w:ascii="Times New Roman" w:cs="Times New Roman" w:eastAsia="Times New Roman" w:hAnsi="Times New Roman"/>
          <w:sz w:val="24"/>
          <w:szCs w:val="24"/>
        </w:rPr>
        <w:t xml:space="preserve">[6] INEGI. PIB per cápita por entidad federativa 2022. Sistema de Cuentas Nacionales de México. 2022.</w:t>
      </w:r>
    </w:p>
    <w:p>
      <w:pPr>
        <w:spacing w:after="0" w:line="480"/>
        <w:ind w:left="360" w:hanging="360"/>
      </w:pPr>
      <w:r>
        <w:rPr>
          <w:rFonts w:ascii="Times New Roman" w:cs="Times New Roman" w:eastAsia="Times New Roman" w:hAnsi="Times New Roman"/>
          <w:sz w:val="24"/>
          <w:szCs w:val="24"/>
        </w:rPr>
        <w:t xml:space="preserve">[7] WHO Global Antimicrobial Resistance and Use Surveillance System (GLASS). 2022.</w:t>
      </w:r>
    </w:p>
    <w:p>
      <w:pPr>
        <w:spacing w:after="0" w:line="480"/>
        <w:ind w:left="360" w:hanging="360"/>
      </w:pPr>
      <w:r>
        <w:rPr>
          <w:rFonts w:ascii="Times New Roman" w:cs="Times New Roman" w:eastAsia="Times New Roman" w:hAnsi="Times New Roman"/>
          <w:sz w:val="24"/>
          <w:szCs w:val="24"/>
        </w:rPr>
        <w:t xml:space="preserve">[8] Maclulich DA. Fluctuations in the numbers of the varying hare. University of Toronto Studies, Biol. Ser. 1937;43.</w:t>
      </w:r>
    </w:p>
    <w:p>
      <w:pPr>
        <w:spacing w:after="0" w:line="480"/>
        <w:ind w:left="360" w:hanging="360"/>
      </w:pPr>
      <w:r>
        <w:rPr>
          <w:rFonts w:ascii="Times New Roman" w:cs="Times New Roman" w:eastAsia="Times New Roman" w:hAnsi="Times New Roman"/>
          <w:sz w:val="24"/>
          <w:szCs w:val="24"/>
        </w:rPr>
        <w:t xml:space="preserve">[9] Gillessen S, Genzel R, Fritz TK, et al. A gas cloud on its way towards the supermassive black hole. Nature. 2012;481:51–54.</w:t>
      </w:r>
    </w:p>
    <w:p>
      <w:pPr>
        <w:spacing w:after="0" w:line="480"/>
        <w:ind w:left="360" w:hanging="360"/>
      </w:pPr>
      <w:r>
        <w:rPr>
          <w:rFonts w:ascii="Times New Roman" w:cs="Times New Roman" w:eastAsia="Times New Roman" w:hAnsi="Times New Roman"/>
          <w:sz w:val="24"/>
          <w:szCs w:val="24"/>
        </w:rPr>
        <w:t xml:space="preserve">[10] Majewski SR, Skrutskie MF, Weinberg MD, Ostheimer JC. A 2MASS view of the Sagittarius dwarf galaxy. Astrophys J. 2003;599(2):1082–1115.</w:t>
      </w:r>
    </w:p>
    <w:p>
      <w:pPr>
        <w:spacing w:after="0" w:line="480"/>
        <w:ind w:left="360" w:hanging="360"/>
      </w:pPr>
      <w:r>
        <w:rPr>
          <w:rFonts w:ascii="Times New Roman" w:cs="Times New Roman" w:eastAsia="Times New Roman" w:hAnsi="Times New Roman"/>
          <w:sz w:val="24"/>
          <w:szCs w:val="24"/>
        </w:rPr>
        <w:t xml:space="preserve">[11] Pollack JB, Hubickyj O, Bodenheimer P, et al. Formation of the giant planets by concurrent accretion. Icarus. 1996;124(1):62–85.</w:t>
      </w:r>
    </w:p>
    <w:p>
      <w:pPr>
        <w:spacing w:after="0" w:line="480"/>
        <w:ind w:left="360" w:hanging="360"/>
      </w:pPr>
      <w:r>
        <w:rPr>
          <w:rFonts w:ascii="Times New Roman" w:cs="Times New Roman" w:eastAsia="Times New Roman" w:hAnsi="Times New Roman"/>
          <w:sz w:val="24"/>
          <w:szCs w:val="24"/>
        </w:rPr>
        <w:t xml:space="preserve">[12] Watts DJ, Strogatz SH. Collective dynamics of small-world networks. Nature. 1998;393(6684):440–442.</w:t>
      </w:r>
    </w:p>
    <w:p>
      <w:pPr>
        <w:spacing w:after="0" w:line="480"/>
        <w:ind w:left="360" w:hanging="360"/>
      </w:pPr>
      <w:r>
        <w:rPr>
          <w:rFonts w:ascii="Times New Roman" w:cs="Times New Roman" w:eastAsia="Times New Roman" w:hAnsi="Times New Roman"/>
          <w:sz w:val="24"/>
          <w:szCs w:val="24"/>
        </w:rPr>
        <w:t xml:space="preserve">[13] Friston K. The free-energy principle: a unified brain theory? Nat Rev Neurosci. 2010;11(2):127–138.</w:t>
      </w:r>
    </w:p>
    <w:p>
      <w:pPr>
        <w:spacing w:after="0" w:line="480"/>
        <w:ind w:left="360" w:hanging="360"/>
      </w:pPr>
      <w:r>
        <w:rPr>
          <w:rFonts w:ascii="Times New Roman" w:cs="Times New Roman" w:eastAsia="Times New Roman" w:hAnsi="Times New Roman"/>
          <w:sz w:val="24"/>
          <w:szCs w:val="24"/>
        </w:rPr>
        <w:t xml:space="preserve">[14] Holland JH. Hidden Order: How Adaptation Builds Complexity. Addison-Wesley; 1995.</w:t>
      </w:r>
    </w:p>
    <w:p>
      <w:pPr>
        <w:spacing w:after="0" w:line="480"/>
        <w:ind w:left="360" w:hanging="360"/>
      </w:pPr>
      <w:r>
        <w:rPr>
          <w:rFonts w:ascii="Times New Roman" w:cs="Times New Roman" w:eastAsia="Times New Roman" w:hAnsi="Times New Roman"/>
          <w:sz w:val="24"/>
          <w:szCs w:val="24"/>
        </w:rPr>
        <w:t xml:space="preserve">[15] Avey JB, Reichard RJ, Luthans F, Mhatre KH. Meta-analysis of the impact of positive psychological capital. Hum Resour Dev Q. 2011;22(2):127–152.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2026-05-11T15:54:53.970Z</dcterms:created>
  <dcterms:modified xsi:type="dcterms:W3CDTF">2026-05-11T15:54:53.986Z</dcterms:modified>
</cp:coreProperties>
</file>

<file path=docProps/custom.xml><?xml version="1.0" encoding="utf-8"?>
<Properties xmlns="http://schemas.openxmlformats.org/officeDocument/2006/custom-properties" xmlns:vt="http://schemas.openxmlformats.org/officeDocument/2006/docPropsVTypes"/>
</file>