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Marco Teórico Unificado — SNT v2.0</w:t>
      </w:r>
    </w:p>
    <w:p>
      <w:pPr>
        <w:spacing w:before="0" w:after="80"/>
      </w:pPr>
      <w:r>
        <w:rPr>
          <w:rFonts w:ascii="Arial" w:cs="Arial" w:eastAsia="Arial" w:hAnsi="Arial"/>
          <w:i/>
          <w:iCs/>
          <w:color w:val="595959"/>
          <w:sz w:val="24"/>
          <w:szCs w:val="24"/>
        </w:rPr>
        <w:t xml:space="preserve">Sistemas Complejos, Redes de Escala Libre y el Algoritmo Universal de Supresión y Emergencia</w:t>
      </w:r>
    </w:p>
    <w:p>
      <w:pPr>
        <w:pBdr>
          <w:bottom w:val="single" w:color="1F3864" w:sz="8" w:space="1"/>
        </w:pBdr>
        <w:spacing w:before="0" w:after="160"/>
      </w:pPr>
    </w:p>
    <w:p>
      <w:pPr>
        <w:spacing w:before="40" w:after="40"/>
      </w:pPr>
      <w:r>
        <w:rPr>
          <w:rFonts w:ascii="Arial" w:cs="Arial" w:eastAsia="Arial" w:hAnsi="Arial"/>
          <w:b/>
          <w:bCs/>
          <w:color w:val="1F3864"/>
          <w:sz w:val="18"/>
          <w:szCs w:val="18"/>
        </w:rPr>
        <w:t xml:space="preserve">Autor: </w:t>
      </w:r>
      <w:r>
        <w:rPr>
          <w:rFonts w:ascii="Arial" w:cs="Arial" w:eastAsia="Arial" w:hAnsi="Arial"/>
          <w:color w:val="595959"/>
          <w:sz w:val="18"/>
          <w:szCs w:val="18"/>
        </w:rPr>
        <w:t xml:space="preserve">Elan Zainos Corona · Fractal Core Research · Tlaxcala, México</w:t>
      </w:r>
    </w:p>
    <w:p>
      <w:pPr>
        <w:spacing w:before="40" w:after="40"/>
      </w:pPr>
      <w:r>
        <w:rPr>
          <w:rFonts w:ascii="Arial" w:cs="Arial" w:eastAsia="Arial" w:hAnsi="Arial"/>
          <w:b/>
          <w:bCs/>
          <w:color w:val="1F3864"/>
          <w:sz w:val="18"/>
          <w:szCs w:val="18"/>
        </w:rPr>
        <w:t xml:space="preserve">Versión: </w:t>
      </w:r>
      <w:r>
        <w:rPr>
          <w:rFonts w:ascii="Arial" w:cs="Arial" w:eastAsia="Arial" w:hAnsi="Arial"/>
          <w:color w:val="595959"/>
          <w:sz w:val="18"/>
          <w:szCs w:val="18"/>
        </w:rPr>
        <w:t xml:space="preserve">0.2 — Marzo 2026 · Pre-print no arbitrado</w:t>
      </w:r>
    </w:p>
    <w:p>
      <w:pPr>
        <w:spacing w:before="40" w:after="40"/>
      </w:pPr>
      <w:r>
        <w:rPr>
          <w:rFonts w:ascii="Arial" w:cs="Arial" w:eastAsia="Arial" w:hAnsi="Arial"/>
          <w:b/>
          <w:bCs/>
          <w:color w:val="1F3864"/>
          <w:sz w:val="18"/>
          <w:szCs w:val="18"/>
        </w:rPr>
        <w:t xml:space="preserve">DOI: </w:t>
      </w:r>
      <w:r>
        <w:rPr>
          <w:rFonts w:ascii="Arial" w:cs="Arial" w:eastAsia="Arial" w:hAnsi="Arial"/>
          <w:color w:val="595959"/>
          <w:sz w:val="18"/>
          <w:szCs w:val="18"/>
        </w:rPr>
        <w:t xml:space="preserve">https://doi.org/10.5281/zenodo.19131327</w:t>
      </w:r>
    </w:p>
    <w:p>
      <w:pPr>
        <w:spacing w:before="40" w:after="40"/>
      </w:pPr>
      <w:r>
        <w:rPr>
          <w:rFonts w:ascii="Arial" w:cs="Arial" w:eastAsia="Arial" w:hAnsi="Arial"/>
          <w:b/>
          <w:bCs/>
          <w:color w:val="1F3864"/>
          <w:sz w:val="18"/>
          <w:szCs w:val="18"/>
        </w:rPr>
        <w:t xml:space="preserve">SSRN: </w:t>
      </w:r>
      <w:r>
        <w:rPr>
          <w:rFonts w:ascii="Arial" w:cs="Arial" w:eastAsia="Arial" w:hAnsi="Arial"/>
          <w:color w:val="595959"/>
          <w:sz w:val="18"/>
          <w:szCs w:val="18"/>
        </w:rPr>
        <w:t xml:space="preserve">https://ssrn.com/abstract=6418778</w:t>
      </w:r>
    </w:p>
    <w:p>
      <w:pPr>
        <w:spacing w:before="40" w:after="40"/>
      </w:pPr>
      <w:r>
        <w:rPr>
          <w:rFonts w:ascii="Arial" w:cs="Arial" w:eastAsia="Arial" w:hAnsi="Arial"/>
          <w:b/>
          <w:bCs/>
          <w:color w:val="1F3864"/>
          <w:sz w:val="18"/>
          <w:szCs w:val="18"/>
        </w:rPr>
        <w:t xml:space="preserve">Palabras clave: </w:t>
      </w:r>
      <w:r>
        <w:rPr>
          <w:rFonts w:ascii="Arial" w:cs="Arial" w:eastAsia="Arial" w:hAnsi="Arial"/>
          <w:color w:val="595959"/>
          <w:sz w:val="18"/>
          <w:szCs w:val="18"/>
        </w:rPr>
        <w:t xml:space="preserve">Shadow Node Theory · invarianza de escala · sistemas complejos · preferential attachment · leapfrog · Índice de Soberanía Atómica · fricción institucional · ley de potencia</w:t>
      </w:r>
    </w:p>
    <w:p>
      <w:pPr>
        <w:pBdr>
          <w:bottom w:val="single" w:color="2E75B6" w:sz="8" w:space="1"/>
        </w:pBdr>
        <w:spacing w:before="0" w:after="160"/>
      </w:pPr>
    </w:p>
    <w:p>
      <w:pPr>
        <w:spacing w:before="200" w:after="0"/>
      </w:pPr>
    </w:p>
    <w:p>
      <w:pPr>
        <w:pStyle w:val="Heading2"/>
      </w:pPr>
      <w:r>
        <w:rPr>
          <w:rFonts w:ascii="Arial" w:cs="Arial" w:eastAsia="Arial" w:hAnsi="Arial"/>
          <w:b/>
          <w:bCs/>
          <w:color w:val="2E75B6"/>
          <w:sz w:val="26"/>
          <w:szCs w:val="26"/>
        </w:rPr>
        <w:t xml:space="preserve">Resumen (Español)</w:t>
      </w:r>
    </w:p>
    <w:p>
      <w:pPr>
        <w:pBdr>
          <w:bottom w:val="single" w:color="2E75B6" w:sz="8" w:space="1"/>
        </w:pBdr>
        <w:spacing w:before="0" w:after="160"/>
      </w:pPr>
    </w:p>
    <w:p>
      <w:pPr>
        <w:spacing w:before="0" w:after="180" w:line="276"/>
        <w:jc w:val="both"/>
      </w:pPr>
      <w:r>
        <w:rPr>
          <w:rFonts w:ascii="Arial" w:cs="Arial" w:eastAsia="Arial" w:hAnsi="Arial"/>
          <w:color w:val="000000"/>
          <w:sz w:val="22"/>
          <w:szCs w:val="22"/>
        </w:rPr>
        <w:t xml:space="preserve">Este trabajo presenta el Marco Teórico Unificado de la Shadow Node Theory v2.0 (SNT v2.0), una formalización del algoritmo universal de satelización y emergencia que opera invariantemente a través de escalas temporales, sustratos y dominios. La hipótesis central postula que cuando dos nodos de poder orbitan en proximidad crítica, el nodo con mayor ventaja acumulada sateliza al nodo histórico mediante una dinámica de ley de potencia de la forma R(t) = a·t^b, invariante a la escala temporal y al sustrato físico.</w:t>
      </w:r>
    </w:p>
    <w:p>
      <w:pPr>
        <w:spacing w:before="0" w:after="180" w:line="276"/>
        <w:jc w:val="both"/>
      </w:pPr>
      <w:r>
        <w:rPr>
          <w:rFonts w:ascii="Arial" w:cs="Arial" w:eastAsia="Arial" w:hAnsi="Arial"/>
          <w:color w:val="000000"/>
          <w:sz w:val="22"/>
          <w:szCs w:val="22"/>
        </w:rPr>
        <w:t xml:space="preserve">El marco se organiza en cuatro niveles de certeza. El Nivel 1 — demostrado — establece la invarianza de escala mediante redes libres de escala (Barabasi-Albert, 1999), el experimento del Physarum polycephalum (Nakagaki, 2010) y la candidata a superkilonova AT2025ulz (Kasliwal et al., 2025). El Nivel 2 — verificable — formaliza la SNT v2.0 con tres contribuciones originales: (1) una taxonomía de cinco niveles funcionales (Hub Central, Atractores Secundarios, Nodos Orquestadores, Nodos Sombra y Anomalías Dimensionales), verificada con datos INEGI 2022 para las 32 entidades federativas de México (b = −0.473, R² = 0.838, p &lt; 0.001); (2) un Modelo de Triple Resolución Sistémica que distingue dinámicas propias en los sistemas Micro (Nodo Atómico), Meso (Red Fúngica intranacional) y Macro (colisión de superorganismos); y (3) el Índice de Soberanía Atómica (ASI), operacionalizado empíricamente con datos de HackerEarth 2026 (N = 4,774 usuarios, precisión = 1.0, correlación Spearman ASI-CSI_V3 rs = 0.178, p &lt; 0.001). Los Niveles 3 y 4 contienen hipótesis activas sobre sincronización inter-cerebral, microtúbulos como decodificadores cuánticos (Penrose-Hameroff) y la materia oscura como sustrato conectivo universal.</w:t>
      </w:r>
    </w:p>
    <w:p>
      <w:pPr>
        <w:spacing w:before="0" w:after="180" w:line="276"/>
        <w:jc w:val="both"/>
      </w:pPr>
      <w:r>
        <w:rPr>
          <w:rFonts w:ascii="Arial" w:cs="Arial" w:eastAsia="Arial" w:hAnsi="Arial"/>
          <w:color w:val="000000"/>
          <w:sz w:val="22"/>
          <w:szCs w:val="22"/>
        </w:rPr>
        <w:t xml:space="preserve">El corpus empírico comprende 502 casos verificados en 11 dominios, abarcando 30 órdenes de magnitud de escala temporal: desde horas (plataformas digitales) hasta miles de millones de años (sistemas galácticos). Tres hallazgos estadísticos centrales emergen del análisis. Primero, los triggers abruptos producen satelización significativamente más rápida que los graduales (b_medio_abruptos = +0.552 vs. b_medio_graduales = −0.013; Mann-Whitney p = 1.91×10⁻⁵, n = 486). Segundo, la fricción institucional es el predictor más importante de la velocidad de satelización: los sistemas sin fricción (biológicos, planetarios, algunos digitales) producen b &gt; 1, mientras que los sistemas con alta fricción institucional (países soberanos, regiones con dependencia mutua) producen b ≈ 0. Tercero, la soberanía política actúa como freno de satelización equivalente a la interdependencia ecológica (Dominio B, países: b_medio = −0.098, n = 230).</w:t>
      </w:r>
    </w:p>
    <w:p>
      <w:pPr>
        <w:spacing w:before="0" w:after="180" w:line="276"/>
        <w:jc w:val="both"/>
      </w:pPr>
      <w:r>
        <w:rPr>
          <w:rFonts w:ascii="Arial" w:cs="Arial" w:eastAsia="Arial" w:hAnsi="Arial"/>
          <w:color w:val="000000"/>
          <w:sz w:val="22"/>
          <w:szCs w:val="22"/>
        </w:rPr>
        <w:t xml:space="preserve">El marco incluye seis criterios de refutación explícitos (RC1–RC6), un protocolo de diagnóstico de cuatro pasos aplicable a cualquier sistema complejo, y tres extensiones a dominios biológico (invasión de especies, depredador-presa, parásito-huésped) y astronómico (formación planetaria, binarios estelares, agujeros negros, sistemas galácticos). El hallazgo transversal de las 14 escalas analizadas sugiere que el algoritmo de satelización constituye un principio de organización universal de sistemas complejos, no una propiedad exclusiva de los sistemas humanos o sociales.</w:t>
      </w:r>
    </w:p>
    <w:p>
      <w:pPr>
        <w:spacing w:before="280" w:after="0"/>
      </w:pPr>
    </w:p>
    <w:p>
      <w:pPr>
        <w:pStyle w:val="Heading2"/>
      </w:pPr>
      <w:r>
        <w:rPr>
          <w:rFonts w:ascii="Arial" w:cs="Arial" w:eastAsia="Arial" w:hAnsi="Arial"/>
          <w:b/>
          <w:bCs/>
          <w:color w:val="2E75B6"/>
          <w:sz w:val="26"/>
          <w:szCs w:val="26"/>
        </w:rPr>
        <w:t xml:space="preserve">Abstract (English)</w:t>
      </w:r>
    </w:p>
    <w:p>
      <w:pPr>
        <w:pBdr>
          <w:bottom w:val="single" w:color="2E75B6" w:sz="8" w:space="1"/>
        </w:pBdr>
        <w:spacing w:before="0" w:after="160"/>
      </w:pPr>
    </w:p>
    <w:p>
      <w:pPr>
        <w:spacing w:before="0" w:after="180" w:line="276"/>
        <w:jc w:val="both"/>
      </w:pPr>
      <w:r>
        <w:rPr>
          <w:rFonts w:ascii="Arial" w:cs="Arial" w:eastAsia="Arial" w:hAnsi="Arial"/>
          <w:color w:val="000000"/>
          <w:sz w:val="22"/>
          <w:szCs w:val="22"/>
        </w:rPr>
        <w:t xml:space="preserve">This paper presents the Unified Theoretical Framework of Shadow Node Theory v2.0 (SNT v2.0), a formalization of a universal satellization and emergence algorithm that operates invariantly across temporal scales, substrates, and domains. The central hypothesis posits that when two power nodes orbit in critical proximity, the node with greater accumulated advantage satellizes the historical node through a power-law dynamic of the form R(t) = a·t^b, invariant to temporal scale and physical substrate.</w:t>
      </w:r>
    </w:p>
    <w:p>
      <w:pPr>
        <w:spacing w:before="0" w:after="180" w:line="276"/>
        <w:jc w:val="both"/>
      </w:pPr>
      <w:r>
        <w:rPr>
          <w:rFonts w:ascii="Arial" w:cs="Arial" w:eastAsia="Arial" w:hAnsi="Arial"/>
          <w:color w:val="000000"/>
          <w:sz w:val="22"/>
          <w:szCs w:val="22"/>
        </w:rPr>
        <w:t xml:space="preserve">The framework is organized into four levels of certainty. Level 1 — demonstrated — establishes scale invariance through scale-free networks (Barabasi-Albert, 1999), the Physarum polycephalum experiment (Nakagaki, 2010), and the candidate superkilonova AT2025ulz (Kasliwal et al., 2025). Level 2 — verifiable — formalizes SNT v2.0 with three original contributions: (1) a five-level functional taxonomy (Central Hub, Secondary Attractors, Orchestrator Nodes, Shadow Nodes, and Dimensional Anomalies), verified with INEGI 2022 data for Mexico's 32 federal entities (b = −0.473, R² = 0.838, p &lt; 0.001); (2) a Triple Systemic Resolution Model distinguishing autonomous dynamics in the Micro (Atomic Node), Meso (intranational Fungal Network), and Macro (superorganism collision) systems; and (3) the Atomic Sovereignty Index (ASI), empirically operationalized with HackerEarth 2026 data (N = 4,774 users, precision = 1.0, Spearman correlation ASI-CSI_V3 rs = 0.178, p &lt; 0.001). Levels 3 and 4 contain active hypotheses on inter-brain synchronization, microtubules as quantum decoders (Penrose-Hameroff), and dark matter as a universal connective substrate.</w:t>
      </w:r>
    </w:p>
    <w:p>
      <w:pPr>
        <w:spacing w:before="0" w:after="180" w:line="276"/>
        <w:jc w:val="both"/>
      </w:pPr>
      <w:r>
        <w:rPr>
          <w:rFonts w:ascii="Arial" w:cs="Arial" w:eastAsia="Arial" w:hAnsi="Arial"/>
          <w:color w:val="000000"/>
          <w:sz w:val="22"/>
          <w:szCs w:val="22"/>
        </w:rPr>
        <w:t xml:space="preserve">The empirical corpus comprises 502 verified cases across 11 domains, spanning 30 orders of magnitude in temporal scale: from hours (digital platforms) to billions of years (galactic systems). Three central statistical findings emerge. First, abrupt triggers produce significantly faster satellization than gradual ones (mean_b_abrupt = +0.552 vs. mean_b_gradual = −0.013; Mann-Whitney p = 1.91×10⁻⁵, n = 486). Second, institutional friction is the most important predictor of satellization speed: systems without friction (biological, planetary, some digital) produce b &gt; 1, while systems with high institutional friction (sovereign nations, regions with mutual dependency) produce b ≈ 0. Third, political sovereignty acts as a satellization brake equivalent to ecological interdependence (Domain B, countries: mean_b = −0.098, n = 230).</w:t>
      </w:r>
    </w:p>
    <w:p>
      <w:pPr>
        <w:spacing w:before="0" w:after="180" w:line="276"/>
        <w:jc w:val="both"/>
      </w:pPr>
      <w:r>
        <w:rPr>
          <w:rFonts w:ascii="Arial" w:cs="Arial" w:eastAsia="Arial" w:hAnsi="Arial"/>
          <w:color w:val="000000"/>
          <w:sz w:val="22"/>
          <w:szCs w:val="22"/>
        </w:rPr>
        <w:t xml:space="preserve">The framework includes six explicit refutation criteria (RC1–RC6), a four-step diagnostic protocol applicable to any complex system, and three extensions to biological (species invasion, predator-prey, parasite-host) and astronomical (planetary formation, stellar binaries, black holes, galactic systems) domains. The cross-domain finding across 14 analyzed scales suggests that the satellization algorithm constitutes a universal organizational principle of complex systems — not a property exclusive to human or social systems.</w:t>
      </w:r>
    </w:p>
    <w:p>
      <w:pPr>
        <w:spacing w:before="280" w:after="0"/>
      </w:pPr>
    </w:p>
    <w:p>
      <w:pPr>
        <w:pBdr>
          <w:bottom w:val="single" w:color="1F3864" w:sz="8" w:space="1"/>
        </w:pBdr>
        <w:spacing w:before="0" w:after="160"/>
      </w:pPr>
    </w:p>
    <w:p>
      <w:pPr>
        <w:spacing w:before="100" w:after="0"/>
        <w:jc w:val="center"/>
      </w:pPr>
      <w:r>
        <w:rPr>
          <w:rFonts w:ascii="Arial" w:cs="Arial" w:eastAsia="Arial" w:hAnsi="Arial"/>
          <w:i/>
          <w:iCs/>
          <w:color w:val="595959"/>
          <w:sz w:val="18"/>
          <w:szCs w:val="18"/>
        </w:rPr>
        <w:t xml:space="preserve">Fractal Core Research · Tlaxcala, México · 2026 · Pre-print v0.2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0" w:after="120"/>
      <w:outlineLvl w:val="0"/>
    </w:pPr>
    <w:rPr>
      <w:rFonts w:ascii="Arial" w:cs="Arial" w:eastAsia="Arial" w:hAnsi="Arial"/>
      <w:b/>
      <w:bCs/>
      <w:color w:val="1F3864"/>
      <w:sz w:val="36"/>
      <w:szCs w:val="36"/>
    </w:rPr>
  </w:style>
  <w:style w:type="paragraph" w:styleId="Heading2">
    <w:name w:val="Heading 2"/>
    <w:basedOn w:val="Normal"/>
    <w:next w:val="Normal"/>
    <w:pPr>
      <w:spacing w:before="20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2026-03-25T16:57:35.532Z</dcterms:created>
  <dcterms:modified xsi:type="dcterms:W3CDTF">2026-03-25T16:57:35.532Z</dcterms:modified>
</cp:coreProperties>
</file>

<file path=docProps/custom.xml><?xml version="1.0" encoding="utf-8"?>
<Properties xmlns="http://schemas.openxmlformats.org/officeDocument/2006/custom-properties" xmlns:vt="http://schemas.openxmlformats.org/officeDocument/2006/docPropsVTypes"/>
</file>